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1" w:rsidRDefault="00005A44" w:rsidP="00B2483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 </w:t>
            </w:r>
            <w:r w:rsidR="005E1548">
              <w:rPr>
                <w:rFonts w:ascii="Arial" w:hAnsi="Arial" w:cs="Arial"/>
              </w:rPr>
              <w:t>NL00</w:t>
            </w:r>
            <w:r w:rsidR="009F1959">
              <w:rPr>
                <w:rFonts w:ascii="Arial" w:hAnsi="Arial" w:cs="Arial"/>
              </w:rPr>
              <w:t>45</w:t>
            </w:r>
            <w:r w:rsidR="005E1548">
              <w:rPr>
                <w:rFonts w:ascii="Arial" w:hAnsi="Arial" w:cs="Arial"/>
              </w:rPr>
              <w:t xml:space="preserve"> </w:t>
            </w:r>
            <w:r w:rsidR="0043358B">
              <w:rPr>
                <w:rFonts w:ascii="Arial" w:hAnsi="Arial" w:cs="Arial"/>
              </w:rPr>
              <w:t>*</w:t>
            </w:r>
            <w:r w:rsidR="005E1548">
              <w:rPr>
                <w:rFonts w:ascii="Arial" w:hAnsi="Arial" w:cs="Arial"/>
              </w:rPr>
              <w:t>Female Complex Needs Safe House Night Worker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9F1959">
              <w:rPr>
                <w:rFonts w:ascii="Arial" w:hAnsi="Arial" w:cs="Arial"/>
              </w:rPr>
              <w:t xml:space="preserve"> 10</w:t>
            </w:r>
            <w:r w:rsidR="009F1959" w:rsidRPr="009F1959">
              <w:rPr>
                <w:rFonts w:ascii="Arial" w:hAnsi="Arial" w:cs="Arial"/>
                <w:vertAlign w:val="superscript"/>
              </w:rPr>
              <w:t>th</w:t>
            </w:r>
            <w:r w:rsidR="009F1959">
              <w:rPr>
                <w:rFonts w:ascii="Arial" w:hAnsi="Arial" w:cs="Arial"/>
                <w:vertAlign w:val="superscript"/>
              </w:rPr>
              <w:t xml:space="preserve"> </w:t>
            </w:r>
            <w:r w:rsidR="009F1959">
              <w:rPr>
                <w:rFonts w:ascii="Arial" w:hAnsi="Arial" w:cs="Arial"/>
              </w:rPr>
              <w:t>June 2022</w:t>
            </w:r>
            <w:bookmarkStart w:id="0" w:name="_GoBack"/>
            <w:bookmarkEnd w:id="0"/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07E5E">
      <w:pPr>
        <w:pStyle w:val="Heading5"/>
        <w:rPr>
          <w:color w:val="auto"/>
        </w:rPr>
      </w:pPr>
      <w:r w:rsidRPr="00A00E59">
        <w:rPr>
          <w:color w:val="auto"/>
        </w:rPr>
        <w:br w:type="page"/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lastRenderedPageBreak/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635"/>
    <w:multiLevelType w:val="hybridMultilevel"/>
    <w:tmpl w:val="836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358B"/>
    <w:rsid w:val="004347BF"/>
    <w:rsid w:val="00477FD2"/>
    <w:rsid w:val="004B741F"/>
    <w:rsid w:val="00551249"/>
    <w:rsid w:val="005538AE"/>
    <w:rsid w:val="0059702A"/>
    <w:rsid w:val="005A0FD1"/>
    <w:rsid w:val="005A79E4"/>
    <w:rsid w:val="005C1E6C"/>
    <w:rsid w:val="005C61FE"/>
    <w:rsid w:val="005E1548"/>
    <w:rsid w:val="005F6202"/>
    <w:rsid w:val="00606929"/>
    <w:rsid w:val="00607A6C"/>
    <w:rsid w:val="00610555"/>
    <w:rsid w:val="00612245"/>
    <w:rsid w:val="00634F6F"/>
    <w:rsid w:val="00637BA1"/>
    <w:rsid w:val="00641656"/>
    <w:rsid w:val="00683BD5"/>
    <w:rsid w:val="0077502A"/>
    <w:rsid w:val="0078452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8640C"/>
    <w:rsid w:val="00987E85"/>
    <w:rsid w:val="009F1959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24831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1CD0CA8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1091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Pam Barton</cp:lastModifiedBy>
  <cp:revision>7</cp:revision>
  <cp:lastPrinted>2005-01-26T11:54:00Z</cp:lastPrinted>
  <dcterms:created xsi:type="dcterms:W3CDTF">2021-03-11T15:15:00Z</dcterms:created>
  <dcterms:modified xsi:type="dcterms:W3CDTF">2022-05-12T13:15:00Z</dcterms:modified>
</cp:coreProperties>
</file>