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9B57" w14:textId="77777777" w:rsidR="00B606C9" w:rsidRDefault="009E0D5A">
      <w:pPr>
        <w:jc w:val="center"/>
        <w:rPr>
          <w:rFonts w:ascii="Montserrat" w:eastAsia="Montserrat" w:hAnsi="Montserrat" w:cs="Montserrat"/>
          <w:b/>
          <w:color w:val="F8DC09"/>
          <w:sz w:val="13"/>
          <w:szCs w:val="13"/>
        </w:rPr>
      </w:pPr>
      <w:r>
        <w:rPr>
          <w:rFonts w:ascii="Montserrat" w:eastAsia="Montserrat" w:hAnsi="Montserrat" w:cs="Montserrat"/>
          <w:b/>
          <w:noProof/>
        </w:rPr>
        <w:drawing>
          <wp:inline distT="114300" distB="114300" distL="114300" distR="114300" wp14:anchorId="793E7C32" wp14:editId="6D2F9321">
            <wp:extent cx="1767840" cy="12496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1249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DA336C" w14:textId="77777777" w:rsidR="00B606C9" w:rsidRDefault="009E0D5A">
      <w:pPr>
        <w:spacing w:before="60"/>
        <w:jc w:val="center"/>
        <w:rPr>
          <w:rFonts w:ascii="Montserrat" w:eastAsia="Montserrat" w:hAnsi="Montserrat" w:cs="Montserrat"/>
          <w:b/>
          <w:color w:val="F8DC09"/>
          <w:sz w:val="13"/>
          <w:szCs w:val="13"/>
        </w:rPr>
      </w:pPr>
      <w:r>
        <w:rPr>
          <w:rFonts w:ascii="Montserrat" w:eastAsia="Montserrat" w:hAnsi="Montserrat" w:cs="Montserrat"/>
          <w:b/>
          <w:color w:val="F8DC09"/>
          <w:sz w:val="13"/>
          <w:szCs w:val="13"/>
        </w:rPr>
        <w:t xml:space="preserve">8-10 WEST STREET, OLD MARKET, BRISTOL, BS2 0BH </w:t>
      </w:r>
      <w:r>
        <w:rPr>
          <w:rFonts w:ascii="Montserrat" w:eastAsia="Montserrat" w:hAnsi="Montserrat" w:cs="Montserrat"/>
          <w:b/>
          <w:color w:val="F8DC09"/>
          <w:sz w:val="13"/>
          <w:szCs w:val="13"/>
          <w:highlight w:val="white"/>
        </w:rPr>
        <w:t>·</w:t>
      </w:r>
      <w:r>
        <w:rPr>
          <w:rFonts w:ascii="Montserrat" w:eastAsia="Montserrat" w:hAnsi="Montserrat" w:cs="Montserrat"/>
          <w:b/>
          <w:color w:val="F8DC09"/>
          <w:sz w:val="13"/>
          <w:szCs w:val="13"/>
        </w:rPr>
        <w:t xml:space="preserve"> 0808 808 9120 </w:t>
      </w:r>
    </w:p>
    <w:p w14:paraId="4BF36F67" w14:textId="77777777" w:rsidR="00B606C9" w:rsidRDefault="009E0D5A">
      <w:pPr>
        <w:jc w:val="center"/>
        <w:rPr>
          <w:rFonts w:ascii="Montserrat" w:eastAsia="Montserrat" w:hAnsi="Montserrat" w:cs="Montserrat"/>
          <w:b/>
          <w:color w:val="F8DC09"/>
          <w:sz w:val="13"/>
          <w:szCs w:val="13"/>
        </w:rPr>
      </w:pPr>
      <w:r>
        <w:rPr>
          <w:rFonts w:ascii="Montserrat" w:eastAsia="Montserrat" w:hAnsi="Montserrat" w:cs="Montserrat"/>
          <w:b/>
          <w:color w:val="F8DC09"/>
          <w:sz w:val="13"/>
          <w:szCs w:val="13"/>
        </w:rPr>
        <w:t xml:space="preserve">REGISTERED CHARITY #1085351 </w:t>
      </w:r>
      <w:r>
        <w:rPr>
          <w:rFonts w:ascii="Montserrat" w:eastAsia="Montserrat" w:hAnsi="Montserrat" w:cs="Montserrat"/>
          <w:b/>
          <w:color w:val="F8DC09"/>
          <w:sz w:val="13"/>
          <w:szCs w:val="13"/>
          <w:highlight w:val="white"/>
        </w:rPr>
        <w:t>·</w:t>
      </w:r>
      <w:r>
        <w:rPr>
          <w:rFonts w:ascii="Montserrat" w:eastAsia="Montserrat" w:hAnsi="Montserrat" w:cs="Montserrat"/>
          <w:b/>
          <w:color w:val="F8DC09"/>
          <w:sz w:val="13"/>
          <w:szCs w:val="13"/>
        </w:rPr>
        <w:t xml:space="preserve"> OTRBRISTOL.ORG.UK</w:t>
      </w:r>
    </w:p>
    <w:p w14:paraId="5505B2F6" w14:textId="77777777" w:rsidR="00B606C9" w:rsidRDefault="009E0D5A">
      <w:pPr>
        <w:jc w:val="center"/>
        <w:rPr>
          <w:rFonts w:ascii="Montserrat" w:eastAsia="Montserrat" w:hAnsi="Montserrat" w:cs="Montserrat"/>
          <w:sz w:val="60"/>
          <w:szCs w:val="60"/>
        </w:rPr>
      </w:pPr>
      <w:r>
        <w:rPr>
          <w:rFonts w:ascii="Montserrat" w:eastAsia="Montserrat" w:hAnsi="Montserrat" w:cs="Montserrat"/>
          <w:b/>
          <w:sz w:val="16"/>
          <w:szCs w:val="16"/>
        </w:rPr>
        <w:t>___________</w:t>
      </w:r>
    </w:p>
    <w:p w14:paraId="56AF5A76" w14:textId="77777777" w:rsidR="00B606C9" w:rsidRDefault="00B606C9">
      <w:pPr>
        <w:rPr>
          <w:rFonts w:ascii="Montserrat" w:eastAsia="Montserrat" w:hAnsi="Montserrat" w:cs="Montserrat"/>
          <w:sz w:val="18"/>
          <w:szCs w:val="18"/>
        </w:rPr>
      </w:pPr>
    </w:p>
    <w:p w14:paraId="202E4B91" w14:textId="77777777" w:rsidR="00B606C9" w:rsidRDefault="009E0D5A">
      <w:pPr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36"/>
          <w:szCs w:val="36"/>
        </w:rPr>
        <w:t xml:space="preserve">Volunteer Therapist </w:t>
      </w:r>
    </w:p>
    <w:p w14:paraId="2B15C654" w14:textId="77777777" w:rsidR="00B606C9" w:rsidRDefault="00B606C9">
      <w:pPr>
        <w:rPr>
          <w:rFonts w:ascii="Montserrat" w:eastAsia="Montserrat" w:hAnsi="Montserrat" w:cs="Montserrat"/>
          <w:b/>
          <w:sz w:val="24"/>
          <w:szCs w:val="24"/>
        </w:rPr>
      </w:pPr>
    </w:p>
    <w:p w14:paraId="7D665762" w14:textId="77777777" w:rsidR="00B606C9" w:rsidRDefault="009E0D5A">
      <w:pPr>
        <w:rPr>
          <w:rFonts w:ascii="Montserrat Light" w:eastAsia="Montserrat Light" w:hAnsi="Montserrat Light" w:cs="Montserrat Ligh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Role Summary</w:t>
      </w:r>
    </w:p>
    <w:p w14:paraId="5A3346C2" w14:textId="77777777" w:rsidR="00B606C9" w:rsidRDefault="009E0D5A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</w:p>
    <w:tbl>
      <w:tblPr>
        <w:tblStyle w:val="a"/>
        <w:tblW w:w="97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905"/>
      </w:tblGrid>
      <w:tr w:rsidR="00B606C9" w14:paraId="37962091" w14:textId="77777777">
        <w:trPr>
          <w:trHeight w:val="375"/>
        </w:trPr>
        <w:tc>
          <w:tcPr>
            <w:tcW w:w="18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2E5990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Job Title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2EE865" w14:textId="77777777" w:rsidR="00B606C9" w:rsidRDefault="009E0D5A">
            <w:pPr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Volunteer Therapist</w:t>
            </w:r>
          </w:p>
        </w:tc>
      </w:tr>
      <w:tr w:rsidR="00B606C9" w14:paraId="7EA870ED" w14:textId="77777777">
        <w:trPr>
          <w:trHeight w:val="390"/>
        </w:trPr>
        <w:tc>
          <w:tcPr>
            <w:tcW w:w="18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6C2528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Hours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DA3822" w14:textId="77777777" w:rsidR="00B606C9" w:rsidRDefault="009E0D5A">
            <w:pPr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6-7 hours per week</w:t>
            </w:r>
          </w:p>
        </w:tc>
      </w:tr>
      <w:tr w:rsidR="00B606C9" w14:paraId="64F0CF42" w14:textId="77777777">
        <w:trPr>
          <w:trHeight w:val="390"/>
        </w:trPr>
        <w:tc>
          <w:tcPr>
            <w:tcW w:w="18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01289D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Location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FD3E6" w14:textId="77777777" w:rsidR="00B606C9" w:rsidRDefault="009E0D5A">
            <w:pPr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Based at OTR, 8-10 West Street, St Philips, Bristol, BS2 0BH and outdoors!</w:t>
            </w:r>
          </w:p>
        </w:tc>
      </w:tr>
      <w:tr w:rsidR="00B606C9" w14:paraId="7587FE40" w14:textId="77777777">
        <w:trPr>
          <w:trHeight w:val="390"/>
        </w:trPr>
        <w:tc>
          <w:tcPr>
            <w:tcW w:w="18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4BF35E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Accountable To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C40F33" w14:textId="77777777" w:rsidR="00B606C9" w:rsidRDefault="009E0D5A">
            <w:pPr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Volunteer Coordinator and Team manager- Therapeutic Services</w:t>
            </w:r>
          </w:p>
        </w:tc>
      </w:tr>
      <w:tr w:rsidR="00B606C9" w14:paraId="662C0520" w14:textId="77777777">
        <w:trPr>
          <w:trHeight w:val="1365"/>
        </w:trPr>
        <w:tc>
          <w:tcPr>
            <w:tcW w:w="186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1DE93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Job Purpose</w:t>
            </w:r>
          </w:p>
        </w:tc>
        <w:tc>
          <w:tcPr>
            <w:tcW w:w="7905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49B05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. To offer one-to-one counselling to young people aged 11-18 from across Bristol and South Gloucestershire, both in house and potentially in schools and online</w:t>
            </w:r>
          </w:p>
        </w:tc>
      </w:tr>
      <w:tr w:rsidR="00B606C9" w14:paraId="6AAF8A45" w14:textId="77777777">
        <w:trPr>
          <w:trHeight w:val="1410"/>
        </w:trPr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CD95A2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Key Relationships</w:t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F24F1B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Team Manager and Therapeutic Services team</w:t>
            </w:r>
          </w:p>
          <w:p w14:paraId="18D17DD3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OTR staff and volunteers</w:t>
            </w:r>
          </w:p>
          <w:p w14:paraId="37D4D847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Clinical Supervisor</w:t>
            </w:r>
          </w:p>
          <w:p w14:paraId="7B79E059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Young People</w:t>
            </w:r>
          </w:p>
          <w:p w14:paraId="0DA0BE41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Applicable external services.</w:t>
            </w:r>
          </w:p>
        </w:tc>
      </w:tr>
    </w:tbl>
    <w:p w14:paraId="6B585DEB" w14:textId="77777777" w:rsidR="00B606C9" w:rsidRDefault="009E0D5A">
      <w:pPr>
        <w:rPr>
          <w:rFonts w:ascii="Montserrat Light" w:eastAsia="Montserrat Light" w:hAnsi="Montserrat Light" w:cs="Montserrat Light"/>
          <w:sz w:val="18"/>
          <w:szCs w:val="1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</w:p>
    <w:p w14:paraId="3817ECF1" w14:textId="77777777" w:rsidR="00B606C9" w:rsidRDefault="009E0D5A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>Role Description</w:t>
      </w:r>
    </w:p>
    <w:p w14:paraId="08E9BB09" w14:textId="77777777" w:rsidR="00B606C9" w:rsidRDefault="00B606C9">
      <w:pPr>
        <w:rPr>
          <w:rFonts w:ascii="Montserrat Light" w:eastAsia="Montserrat Light" w:hAnsi="Montserrat Light" w:cs="Montserrat Light"/>
          <w:sz w:val="18"/>
          <w:szCs w:val="18"/>
        </w:rPr>
      </w:pPr>
    </w:p>
    <w:tbl>
      <w:tblPr>
        <w:tblStyle w:val="a0"/>
        <w:tblW w:w="98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205"/>
      </w:tblGrid>
      <w:tr w:rsidR="00B606C9" w14:paraId="10E2CEFB" w14:textId="77777777">
        <w:trPr>
          <w:trHeight w:val="1245"/>
        </w:trPr>
        <w:tc>
          <w:tcPr>
            <w:tcW w:w="166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907D0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Therapeutic Support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D6B3D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To provide therapeutic support to individual young people (11-18) referred to OTR Bristol and South Gloucestershire therapeutic services</w:t>
            </w:r>
          </w:p>
          <w:p w14:paraId="72B7D13C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To work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within, and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abide by the ethical framework of the British Association of Counselling and Psychotherapy (BACP) o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r equivalent.</w:t>
            </w:r>
          </w:p>
        </w:tc>
      </w:tr>
      <w:tr w:rsidR="00B606C9" w14:paraId="1F3E9C5E" w14:textId="77777777">
        <w:trPr>
          <w:trHeight w:val="1515"/>
        </w:trPr>
        <w:tc>
          <w:tcPr>
            <w:tcW w:w="166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B211D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Administration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A23CA3" w14:textId="77777777" w:rsidR="00B606C9" w:rsidRDefault="009E0D5A">
            <w:pPr>
              <w:numPr>
                <w:ilvl w:val="0"/>
                <w:numId w:val="2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To fulfil Off the Record service user monitoring requirements and keep confidential, safe and secure records via the IAPTUS monitoring system</w:t>
            </w:r>
          </w:p>
          <w:p w14:paraId="3FFD10A8" w14:textId="77777777" w:rsidR="00B606C9" w:rsidRDefault="009E0D5A">
            <w:pPr>
              <w:numPr>
                <w:ilvl w:val="0"/>
                <w:numId w:val="2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Act quickly and efficiently in relation to Safeguarding concerns, working alongside your team to ensure that at ri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sk young people are flagged and supported consistent with local protocols and procedures.</w:t>
            </w:r>
          </w:p>
          <w:p w14:paraId="6A74D5E5" w14:textId="77777777" w:rsidR="00B606C9" w:rsidRDefault="009E0D5A">
            <w:pPr>
              <w:numPr>
                <w:ilvl w:val="0"/>
                <w:numId w:val="2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Attend regular supervision with your manager as agreed.</w:t>
            </w:r>
          </w:p>
        </w:tc>
      </w:tr>
      <w:tr w:rsidR="00B606C9" w14:paraId="546645A9" w14:textId="77777777">
        <w:trPr>
          <w:trHeight w:val="1710"/>
        </w:trPr>
        <w:tc>
          <w:tcPr>
            <w:tcW w:w="166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18463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lastRenderedPageBreak/>
              <w:t>Other</w:t>
            </w:r>
          </w:p>
        </w:tc>
        <w:tc>
          <w:tcPr>
            <w:tcW w:w="820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409353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To engage in training and development commensurate to the role.</w:t>
            </w:r>
          </w:p>
          <w:p w14:paraId="696083F5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To ensure all paper and electronic personal records are managed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are stored safely at all times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.</w:t>
            </w:r>
          </w:p>
          <w:p w14:paraId="36B33FAC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To respect and maintain the confidentiality of all staff and volunteers at OTR internally and wi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th external agencies.</w:t>
            </w:r>
          </w:p>
          <w:p w14:paraId="159E7205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To work within the spirit and framework of all OTR policies, governance </w:t>
            </w:r>
            <w:proofErr w:type="spell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etc</w:t>
            </w:r>
            <w:proofErr w:type="spellEnd"/>
          </w:p>
          <w:p w14:paraId="7A88D6B2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Contribute to the development of best practice within the service.</w:t>
            </w:r>
          </w:p>
          <w:p w14:paraId="6EA1634C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Ensure a comprehensive understanding of the relevant safeguarding legislation, guidance and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best practice.</w:t>
            </w:r>
          </w:p>
          <w:p w14:paraId="406B4588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Maintain up-to date knowledge of legislation, national and local policies and procedures in relation to children and young people’s mental health.</w:t>
            </w:r>
          </w:p>
          <w:p w14:paraId="6E575409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All employees and volunteers have a responsibility and a legal obligation to ensure that info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rmation processed is kept accurate, confidential, secure and in line with GDPR (2018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)  and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Security and Confidentiality Policies.</w:t>
            </w:r>
          </w:p>
          <w:p w14:paraId="273FD11C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It is the responsibility of all staff that they do not abuse their official position for personal gain, to seek advantage of f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urther private business or other interests in the course of their official duties.</w:t>
            </w:r>
          </w:p>
          <w:p w14:paraId="5645F21E" w14:textId="77777777" w:rsidR="00B606C9" w:rsidRDefault="009E0D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This role description does not provide an exhaustive list of duties and may be reviewed in conjunction with the post holder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in light of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service development. </w:t>
            </w:r>
          </w:p>
        </w:tc>
      </w:tr>
    </w:tbl>
    <w:p w14:paraId="728B3949" w14:textId="77777777" w:rsidR="00B606C9" w:rsidRDefault="00B606C9">
      <w:pPr>
        <w:rPr>
          <w:rFonts w:ascii="Montserrat Light" w:eastAsia="Montserrat Light" w:hAnsi="Montserrat Light" w:cs="Montserrat Light"/>
          <w:sz w:val="18"/>
          <w:szCs w:val="18"/>
        </w:rPr>
      </w:pPr>
    </w:p>
    <w:p w14:paraId="62219E01" w14:textId="77777777" w:rsidR="00B606C9" w:rsidRDefault="009E0D5A">
      <w:pPr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Person Specification</w:t>
      </w:r>
    </w:p>
    <w:p w14:paraId="3EB76933" w14:textId="77777777" w:rsidR="00B606C9" w:rsidRDefault="00B606C9">
      <w:pPr>
        <w:rPr>
          <w:rFonts w:ascii="Montserrat" w:eastAsia="Montserrat" w:hAnsi="Montserrat" w:cs="Montserrat"/>
          <w:b/>
          <w:sz w:val="24"/>
          <w:szCs w:val="24"/>
        </w:rPr>
      </w:pPr>
    </w:p>
    <w:tbl>
      <w:tblPr>
        <w:tblStyle w:val="a1"/>
        <w:tblW w:w="9840" w:type="dxa"/>
        <w:tblInd w:w="45" w:type="dxa"/>
        <w:tblBorders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4155"/>
        <w:gridCol w:w="4350"/>
      </w:tblGrid>
      <w:tr w:rsidR="00B606C9" w14:paraId="67CF51E9" w14:textId="77777777">
        <w:trPr>
          <w:trHeight w:val="180"/>
        </w:trPr>
        <w:tc>
          <w:tcPr>
            <w:tcW w:w="13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4BA564" w14:textId="77777777" w:rsidR="00B606C9" w:rsidRDefault="00B606C9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</w:p>
        </w:tc>
        <w:tc>
          <w:tcPr>
            <w:tcW w:w="41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14BB53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Essential</w:t>
            </w:r>
          </w:p>
        </w:tc>
        <w:tc>
          <w:tcPr>
            <w:tcW w:w="43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6362BB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Desirable</w:t>
            </w:r>
          </w:p>
        </w:tc>
      </w:tr>
      <w:tr w:rsidR="00B606C9" w14:paraId="26C57A6A" w14:textId="77777777">
        <w:trPr>
          <w:trHeight w:val="740"/>
        </w:trPr>
        <w:tc>
          <w:tcPr>
            <w:tcW w:w="133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863768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Education &amp; Training</w:t>
            </w:r>
          </w:p>
        </w:tc>
        <w:tc>
          <w:tcPr>
            <w:tcW w:w="415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84981" w14:textId="77777777" w:rsidR="00B606C9" w:rsidRDefault="009E0D5A">
            <w:pPr>
              <w:numPr>
                <w:ilvl w:val="0"/>
                <w:numId w:val="3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owning or working towards </w:t>
            </w:r>
            <w:proofErr w:type="spell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recognised</w:t>
            </w:r>
            <w:proofErr w:type="spell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therapeutic qualification, at least to diploma level. </w:t>
            </w:r>
          </w:p>
        </w:tc>
        <w:tc>
          <w:tcPr>
            <w:tcW w:w="435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F8A099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Accredited by the BACP or UKCP or registered with other relevant professional governing body.</w:t>
            </w:r>
          </w:p>
          <w:p w14:paraId="4035D30A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Qualification in working with equalities groups in a relevant area.</w:t>
            </w:r>
          </w:p>
          <w:p w14:paraId="6BEE0F15" w14:textId="77777777" w:rsidR="00B606C9" w:rsidRDefault="009E0D5A">
            <w:pPr>
              <w:numPr>
                <w:ilvl w:val="0"/>
                <w:numId w:val="3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Further qualification in working with children, young people and families. </w:t>
            </w:r>
          </w:p>
        </w:tc>
      </w:tr>
      <w:tr w:rsidR="00B606C9" w14:paraId="0A7D2582" w14:textId="77777777">
        <w:trPr>
          <w:trHeight w:val="1304"/>
        </w:trPr>
        <w:tc>
          <w:tcPr>
            <w:tcW w:w="13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5E9A3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Experience</w:t>
            </w:r>
          </w:p>
        </w:tc>
        <w:tc>
          <w:tcPr>
            <w:tcW w:w="41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10BD5F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Demonstrable experience working as a therapist with young people. </w:t>
            </w:r>
          </w:p>
          <w:p w14:paraId="1E3DD755" w14:textId="77777777" w:rsidR="00B606C9" w:rsidRDefault="009E0D5A">
            <w:pPr>
              <w:numPr>
                <w:ilvl w:val="0"/>
                <w:numId w:val="3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Experience working with young people from a diverse range of social, economic and cultural backgrounds. </w:t>
            </w:r>
          </w:p>
        </w:tc>
        <w:tc>
          <w:tcPr>
            <w:tcW w:w="43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7A9399" w14:textId="77777777" w:rsidR="00B606C9" w:rsidRDefault="009E0D5A">
            <w:pPr>
              <w:numPr>
                <w:ilvl w:val="0"/>
                <w:numId w:val="3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Experience of working with social justice, and or community projects and 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provisions which offer social and peer support. </w:t>
            </w:r>
          </w:p>
        </w:tc>
      </w:tr>
      <w:tr w:rsidR="00B606C9" w14:paraId="1CF64BC7" w14:textId="77777777">
        <w:trPr>
          <w:trHeight w:val="730"/>
        </w:trPr>
        <w:tc>
          <w:tcPr>
            <w:tcW w:w="133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14A64B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Knowledge</w:t>
            </w:r>
          </w:p>
        </w:tc>
        <w:tc>
          <w:tcPr>
            <w:tcW w:w="415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3C82AE" w14:textId="77777777" w:rsidR="00B606C9" w:rsidRDefault="009E0D5A">
            <w:pPr>
              <w:numPr>
                <w:ilvl w:val="0"/>
                <w:numId w:val="3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Knowledge of issues related to young people, intersectionality, mental health and social and economic deprivation. </w:t>
            </w:r>
          </w:p>
        </w:tc>
        <w:tc>
          <w:tcPr>
            <w:tcW w:w="435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6E3BBB" w14:textId="77777777" w:rsidR="00B606C9" w:rsidRDefault="00B606C9">
            <w:pPr>
              <w:spacing w:after="100"/>
              <w:ind w:left="72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</w:p>
        </w:tc>
      </w:tr>
      <w:tr w:rsidR="00B606C9" w14:paraId="03D26858" w14:textId="77777777">
        <w:trPr>
          <w:trHeight w:val="1134"/>
        </w:trPr>
        <w:tc>
          <w:tcPr>
            <w:tcW w:w="13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5D8C7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Skills &amp; Qualities</w:t>
            </w:r>
          </w:p>
        </w:tc>
        <w:tc>
          <w:tcPr>
            <w:tcW w:w="41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1A08B5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Emphasizing empowerment and client autonomy in clinical practice.</w:t>
            </w:r>
          </w:p>
          <w:p w14:paraId="05CCED5C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Confident and proficient user of digital technology</w:t>
            </w:r>
          </w:p>
          <w:p w14:paraId="21BAA197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Passion for and commitment to community engagement.</w:t>
            </w:r>
          </w:p>
          <w:p w14:paraId="0FD5D60E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Excellent communication skills</w:t>
            </w:r>
          </w:p>
          <w:p w14:paraId="19819368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Ability to </w:t>
            </w:r>
            <w:proofErr w:type="spell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recognise</w:t>
            </w:r>
            <w:proofErr w:type="spell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and respect confidentiality. </w:t>
            </w:r>
          </w:p>
          <w:p w14:paraId="1B00B8BA" w14:textId="77777777" w:rsidR="00B606C9" w:rsidRDefault="009E0D5A">
            <w:pPr>
              <w:numPr>
                <w:ilvl w:val="0"/>
                <w:numId w:val="3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Unde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rstanding and experience of working therapeutically over online platforms</w:t>
            </w:r>
          </w:p>
        </w:tc>
        <w:tc>
          <w:tcPr>
            <w:tcW w:w="43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BB770A" w14:textId="77777777" w:rsidR="00B606C9" w:rsidRDefault="00B606C9">
            <w:pPr>
              <w:spacing w:after="100"/>
              <w:ind w:left="72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</w:p>
        </w:tc>
      </w:tr>
      <w:tr w:rsidR="00B606C9" w14:paraId="1076D6A1" w14:textId="77777777">
        <w:trPr>
          <w:trHeight w:val="1134"/>
        </w:trPr>
        <w:tc>
          <w:tcPr>
            <w:tcW w:w="133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9A3CD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lastRenderedPageBreak/>
              <w:t>Anti-Oppressive Practice</w:t>
            </w:r>
          </w:p>
        </w:tc>
        <w:tc>
          <w:tcPr>
            <w:tcW w:w="4155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0DD347" w14:textId="77777777" w:rsidR="00B606C9" w:rsidRDefault="00B606C9">
            <w:pPr>
              <w:spacing w:after="10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</w:p>
          <w:p w14:paraId="626F2288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 commitment to being an agent of social change</w:t>
            </w:r>
          </w:p>
          <w:p w14:paraId="5C8CB025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To respect young people regardless of who they are and what they believe</w:t>
            </w:r>
          </w:p>
          <w:p w14:paraId="1C4E5522" w14:textId="77777777" w:rsidR="00B606C9" w:rsidRDefault="009E0D5A">
            <w:pPr>
              <w:numPr>
                <w:ilvl w:val="0"/>
                <w:numId w:val="3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 commitment to educating yourself about social issues and to be culturally competent.</w:t>
            </w:r>
          </w:p>
        </w:tc>
        <w:tc>
          <w:tcPr>
            <w:tcW w:w="4350" w:type="dxa"/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24BD17" w14:textId="77777777" w:rsidR="00B606C9" w:rsidRDefault="00B606C9">
            <w:pPr>
              <w:spacing w:after="100"/>
              <w:ind w:left="72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</w:p>
        </w:tc>
      </w:tr>
      <w:tr w:rsidR="00B606C9" w14:paraId="670A9441" w14:textId="77777777">
        <w:trPr>
          <w:trHeight w:val="2100"/>
        </w:trPr>
        <w:tc>
          <w:tcPr>
            <w:tcW w:w="13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4859A" w14:textId="77777777" w:rsidR="00B606C9" w:rsidRDefault="009E0D5A">
            <w:pPr>
              <w:rPr>
                <w:rFonts w:ascii="Montserrat" w:eastAsia="Montserrat" w:hAnsi="Montserrat" w:cs="Montserrat"/>
                <w:b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b/>
                <w:sz w:val="18"/>
                <w:szCs w:val="18"/>
              </w:rPr>
              <w:t>Other</w:t>
            </w:r>
          </w:p>
        </w:tc>
        <w:tc>
          <w:tcPr>
            <w:tcW w:w="415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637BE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An ability to establish and maintain relationships with young people and other professio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nals. </w:t>
            </w:r>
          </w:p>
          <w:p w14:paraId="46A542D9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An ability to work confidently on own initiative - a self-starter. </w:t>
            </w:r>
          </w:p>
          <w:p w14:paraId="4D025BF8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A commitment to personal development and learning. </w:t>
            </w:r>
          </w:p>
          <w:p w14:paraId="6E8F0A77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Commitment to the importance of confidentiality. </w:t>
            </w:r>
          </w:p>
          <w:p w14:paraId="00915B1D" w14:textId="77777777" w:rsidR="00B606C9" w:rsidRDefault="009E0D5A">
            <w:pPr>
              <w:numPr>
                <w:ilvl w:val="0"/>
                <w:numId w:val="3"/>
              </w:numPr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A willingness to travel across Bristol. </w:t>
            </w:r>
          </w:p>
          <w:p w14:paraId="63611FF4" w14:textId="77777777" w:rsidR="00B606C9" w:rsidRDefault="009E0D5A">
            <w:pPr>
              <w:numPr>
                <w:ilvl w:val="0"/>
                <w:numId w:val="3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Good </w:t>
            </w:r>
            <w:proofErr w:type="spell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communi</w:t>
            </w:r>
            <w:proofErr w:type="spellEnd"/>
          </w:p>
        </w:tc>
        <w:tc>
          <w:tcPr>
            <w:tcW w:w="43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13CB3B" w14:textId="77777777" w:rsidR="00B606C9" w:rsidRDefault="00B606C9">
            <w:pPr>
              <w:spacing w:after="10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</w:p>
          <w:p w14:paraId="3268517A" w14:textId="77777777" w:rsidR="00B606C9" w:rsidRDefault="009E0D5A">
            <w:pPr>
              <w:numPr>
                <w:ilvl w:val="0"/>
                <w:numId w:val="3"/>
              </w:numPr>
              <w:spacing w:after="100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An ability to see clients outside of normal working hours</w:t>
            </w:r>
          </w:p>
        </w:tc>
      </w:tr>
    </w:tbl>
    <w:p w14:paraId="1BE660C6" w14:textId="77777777" w:rsidR="00B606C9" w:rsidRDefault="00B606C9">
      <w:pPr>
        <w:spacing w:line="240" w:lineRule="auto"/>
        <w:rPr>
          <w:rFonts w:ascii="Montserrat Light" w:eastAsia="Montserrat Light" w:hAnsi="Montserrat Light" w:cs="Montserrat Light"/>
          <w:sz w:val="18"/>
          <w:szCs w:val="18"/>
        </w:rPr>
      </w:pPr>
    </w:p>
    <w:p w14:paraId="701B59A1" w14:textId="77777777" w:rsidR="00B606C9" w:rsidRDefault="009E0D5A">
      <w:pPr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 Light" w:eastAsia="Montserrat Light" w:hAnsi="Montserrat Light" w:cs="Montserrat Light"/>
          <w:sz w:val="18"/>
          <w:szCs w:val="18"/>
        </w:rPr>
        <w:t xml:space="preserve"> </w:t>
      </w:r>
      <w:r>
        <w:rPr>
          <w:rFonts w:ascii="Montserrat" w:eastAsia="Montserrat" w:hAnsi="Montserrat" w:cs="Montserrat"/>
          <w:b/>
          <w:sz w:val="28"/>
          <w:szCs w:val="28"/>
        </w:rPr>
        <w:t>About us</w:t>
      </w:r>
    </w:p>
    <w:p w14:paraId="644A5D30" w14:textId="77777777" w:rsidR="00B606C9" w:rsidRDefault="00B606C9">
      <w:pPr>
        <w:rPr>
          <w:rFonts w:ascii="Montserrat" w:eastAsia="Montserrat" w:hAnsi="Montserrat" w:cs="Montserrat"/>
          <w:b/>
          <w:sz w:val="12"/>
          <w:szCs w:val="12"/>
        </w:rPr>
      </w:pPr>
    </w:p>
    <w:tbl>
      <w:tblPr>
        <w:tblStyle w:val="a2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2295"/>
        <w:gridCol w:w="3195"/>
      </w:tblGrid>
      <w:tr w:rsidR="00B606C9" w14:paraId="25A5819E" w14:textId="77777777">
        <w:trPr>
          <w:trHeight w:val="340"/>
        </w:trPr>
        <w:tc>
          <w:tcPr>
            <w:tcW w:w="3840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E5E344" w14:textId="77777777" w:rsidR="00B606C9" w:rsidRDefault="009E0D5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What We Believe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C5F99" w14:textId="77777777" w:rsidR="00B606C9" w:rsidRDefault="009E0D5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What We Value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FC5DC2" w14:textId="77777777" w:rsidR="00B606C9" w:rsidRDefault="009E0D5A">
            <w:pPr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How We Behave</w:t>
            </w:r>
          </w:p>
        </w:tc>
      </w:tr>
      <w:tr w:rsidR="00B606C9" w14:paraId="7FBCFEEB" w14:textId="77777777">
        <w:trPr>
          <w:trHeight w:val="3615"/>
        </w:trPr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A4F55" w14:textId="77777777" w:rsidR="00B606C9" w:rsidRDefault="009E0D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All theoretical models are wrong, but all of them are useful</w:t>
            </w:r>
          </w:p>
          <w:p w14:paraId="5E724DEA" w14:textId="77777777" w:rsidR="00B606C9" w:rsidRDefault="009E0D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Relationships are what make the difference</w:t>
            </w:r>
          </w:p>
          <w:p w14:paraId="6223E246" w14:textId="77777777" w:rsidR="00B606C9" w:rsidRDefault="009E0D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Mental health is social and political as well as personal</w:t>
            </w:r>
          </w:p>
          <w:p w14:paraId="15AC7039" w14:textId="77777777" w:rsidR="00B606C9" w:rsidRDefault="009E0D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Social networks are more powerful than individual solutions</w:t>
            </w:r>
          </w:p>
          <w:p w14:paraId="1359F78D" w14:textId="77777777" w:rsidR="00B606C9" w:rsidRDefault="009E0D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Building on strengths and capabilities is more sustainable than meeting needs and vulnerabiliti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es</w:t>
            </w:r>
          </w:p>
          <w:p w14:paraId="7D7AA294" w14:textId="77777777" w:rsidR="00B606C9" w:rsidRDefault="009E0D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Participatory services are more effective than transactional ones</w:t>
            </w:r>
          </w:p>
          <w:p w14:paraId="64BBF71B" w14:textId="77777777" w:rsidR="00B606C9" w:rsidRDefault="009E0D5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45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Our work is a vocation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03C404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Collaboration</w:t>
            </w:r>
          </w:p>
          <w:p w14:paraId="1D8394F0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Diversity</w:t>
            </w:r>
          </w:p>
          <w:p w14:paraId="5BF5799A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Learning</w:t>
            </w:r>
          </w:p>
          <w:p w14:paraId="7346EE8C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Sharing</w:t>
            </w:r>
          </w:p>
          <w:p w14:paraId="033A5664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Participation</w:t>
            </w:r>
          </w:p>
          <w:p w14:paraId="7010F299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Self-efficacy</w:t>
            </w:r>
          </w:p>
          <w:p w14:paraId="5537C13B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Self-care</w:t>
            </w:r>
          </w:p>
          <w:p w14:paraId="56FCE9B2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Transparency</w:t>
            </w:r>
          </w:p>
          <w:p w14:paraId="3F9E35C5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Agency</w:t>
            </w:r>
          </w:p>
          <w:p w14:paraId="338193D2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Creativity</w:t>
            </w:r>
          </w:p>
          <w:p w14:paraId="0D109D2F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Social Action</w:t>
            </w:r>
          </w:p>
          <w:p w14:paraId="516AC8E6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        Pragmatism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A9FB92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accommodating</w:t>
            </w:r>
          </w:p>
          <w:p w14:paraId="7C24C59C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integrated</w:t>
            </w:r>
          </w:p>
          <w:p w14:paraId="29BDED01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thoughtful</w:t>
            </w:r>
          </w:p>
          <w:p w14:paraId="763A189A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supportive</w:t>
            </w:r>
          </w:p>
          <w:p w14:paraId="2DCEB299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open</w:t>
            </w:r>
          </w:p>
          <w:p w14:paraId="6DA66BB9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resourceful</w:t>
            </w:r>
          </w:p>
          <w:p w14:paraId="247F97BD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-</w:t>
            </w: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resilient</w:t>
            </w:r>
          </w:p>
          <w:p w14:paraId="4DECE721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communicative</w:t>
            </w:r>
          </w:p>
          <w:p w14:paraId="146BC30B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independent</w:t>
            </w:r>
          </w:p>
          <w:p w14:paraId="05263F9C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imaginative</w:t>
            </w:r>
          </w:p>
          <w:p w14:paraId="27630982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motivated</w:t>
            </w:r>
          </w:p>
          <w:p w14:paraId="1D707ECB" w14:textId="77777777" w:rsidR="00B606C9" w:rsidRDefault="009E0D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ind w:left="540" w:hanging="360"/>
              <w:rPr>
                <w:rFonts w:ascii="Montserrat Light" w:eastAsia="Montserrat Light" w:hAnsi="Montserrat Light" w:cs="Montserrat Light"/>
                <w:sz w:val="18"/>
                <w:szCs w:val="18"/>
              </w:rPr>
            </w:pPr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-        </w:t>
            </w:r>
            <w:proofErr w:type="gramStart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>We’re</w:t>
            </w:r>
            <w:proofErr w:type="gramEnd"/>
            <w:r>
              <w:rPr>
                <w:rFonts w:ascii="Montserrat Light" w:eastAsia="Montserrat Light" w:hAnsi="Montserrat Light" w:cs="Montserrat Light"/>
                <w:sz w:val="18"/>
                <w:szCs w:val="18"/>
              </w:rPr>
              <w:t xml:space="preserve"> adaptable</w:t>
            </w:r>
          </w:p>
        </w:tc>
      </w:tr>
    </w:tbl>
    <w:p w14:paraId="108C8106" w14:textId="77777777" w:rsidR="00B606C9" w:rsidRDefault="00B606C9">
      <w:pPr>
        <w:rPr>
          <w:rFonts w:ascii="Montserrat" w:eastAsia="Montserrat" w:hAnsi="Montserrat" w:cs="Montserrat"/>
          <w:sz w:val="20"/>
          <w:szCs w:val="20"/>
        </w:rPr>
      </w:pPr>
    </w:p>
    <w:sectPr w:rsidR="00B606C9"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Montserrat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D4D96"/>
    <w:multiLevelType w:val="multilevel"/>
    <w:tmpl w:val="5FACCF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C904C9"/>
    <w:multiLevelType w:val="multilevel"/>
    <w:tmpl w:val="A3CE8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13385C"/>
    <w:multiLevelType w:val="multilevel"/>
    <w:tmpl w:val="C9404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C9"/>
    <w:rsid w:val="009E0D5A"/>
    <w:rsid w:val="00B6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FBF7"/>
  <w15:docId w15:val="{8E94F902-8FB7-4542-8987-8942EE65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2020-12-03T12:26:00Z</dcterms:created>
  <dcterms:modified xsi:type="dcterms:W3CDTF">2020-12-03T12:26:00Z</dcterms:modified>
</cp:coreProperties>
</file>