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206D" w14:textId="3856EBC3" w:rsidR="00407D00" w:rsidRDefault="00407D00">
      <w:pPr>
        <w:pStyle w:val="Heading1"/>
        <w:ind w:firstLine="113"/>
        <w:jc w:val="center"/>
        <w:rPr>
          <w:color w:val="00B0F0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hidden="0" allowOverlap="1" wp14:anchorId="5B156C9B" wp14:editId="7B57BE0F">
            <wp:simplePos x="0" y="0"/>
            <wp:positionH relativeFrom="column">
              <wp:posOffset>3676650</wp:posOffset>
            </wp:positionH>
            <wp:positionV relativeFrom="paragraph">
              <wp:posOffset>-489585</wp:posOffset>
            </wp:positionV>
            <wp:extent cx="1952625" cy="10382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B075D6" w14:textId="255F622D" w:rsidR="005B41C0" w:rsidRDefault="009033C6">
      <w:pPr>
        <w:pStyle w:val="Heading1"/>
        <w:ind w:firstLine="113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Role Outline</w:t>
      </w:r>
    </w:p>
    <w:p w14:paraId="5BA557E6" w14:textId="77777777" w:rsidR="005B41C0" w:rsidRDefault="009033C6">
      <w:pPr>
        <w:pStyle w:val="Heading1"/>
        <w:ind w:firstLine="113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Trustee</w:t>
      </w:r>
    </w:p>
    <w:p w14:paraId="780F7EC5" w14:textId="77777777" w:rsidR="00407D00" w:rsidRDefault="00407D00" w:rsidP="00407D00">
      <w:pPr>
        <w:pStyle w:val="Heading1"/>
        <w:spacing w:after="120"/>
        <w:ind w:left="0"/>
      </w:pPr>
    </w:p>
    <w:p w14:paraId="7421A509" w14:textId="09400AC5" w:rsidR="005B41C0" w:rsidRPr="00753E31" w:rsidRDefault="00F550CA" w:rsidP="00407D00">
      <w:pPr>
        <w:pStyle w:val="Heading1"/>
        <w:spacing w:after="120"/>
        <w:ind w:left="0"/>
      </w:pPr>
      <w:r>
        <w:t>w</w:t>
      </w:r>
      <w:bookmarkStart w:id="0" w:name="_GoBack"/>
      <w:bookmarkEnd w:id="0"/>
      <w:r w:rsidR="009033C6" w:rsidRPr="00753E31">
        <w:t>Main duties and responsibilities</w:t>
      </w:r>
    </w:p>
    <w:p w14:paraId="49C54A9F" w14:textId="260DECC7" w:rsidR="005B41C0" w:rsidRDefault="009033C6" w:rsidP="00407D00">
      <w:pPr>
        <w:widowControl/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753E31">
        <w:rPr>
          <w:rFonts w:asciiTheme="majorHAnsi" w:eastAsia="Calibri" w:hAnsiTheme="majorHAnsi" w:cstheme="majorHAnsi"/>
          <w:sz w:val="24"/>
          <w:szCs w:val="24"/>
        </w:rPr>
        <w:t xml:space="preserve">The main duties of a Age UK Bristol (AUKB) trustee align with the six main duties outlined in </w:t>
      </w:r>
      <w:hyperlink r:id="rId8">
        <w:r w:rsidRPr="00753E31">
          <w:rPr>
            <w:rFonts w:asciiTheme="majorHAnsi" w:eastAsia="Calibri" w:hAnsiTheme="majorHAnsi" w:cstheme="majorHAnsi"/>
            <w:color w:val="1155CC"/>
            <w:sz w:val="24"/>
            <w:szCs w:val="24"/>
          </w:rPr>
          <w:t>the Charity Commission Guidance</w:t>
        </w:r>
      </w:hyperlink>
      <w:r w:rsidRPr="00753E31">
        <w:rPr>
          <w:rFonts w:asciiTheme="majorHAnsi" w:eastAsia="Calibri" w:hAnsiTheme="majorHAnsi" w:cstheme="majorHAnsi"/>
          <w:sz w:val="24"/>
          <w:szCs w:val="24"/>
        </w:rPr>
        <w:t xml:space="preserve"> (CC3a)</w:t>
      </w:r>
      <w:r w:rsidR="00753E31">
        <w:rPr>
          <w:rFonts w:asciiTheme="majorHAnsi" w:eastAsia="Calibri" w:hAnsiTheme="majorHAnsi" w:cstheme="majorHAnsi"/>
          <w:sz w:val="24"/>
          <w:szCs w:val="24"/>
        </w:rPr>
        <w:t>. We expect a trustee to:</w:t>
      </w:r>
    </w:p>
    <w:p w14:paraId="16236DB2" w14:textId="69E8F6FC" w:rsidR="00753E31" w:rsidRDefault="00753E31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306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Ensure AUKB applies its resources exclusively in pursuance of its objectives for the public benefit</w:t>
      </w:r>
    </w:p>
    <w:p w14:paraId="18181F4C" w14:textId="4D2E57DA" w:rsidR="00753E31" w:rsidRPr="00ED7556" w:rsidRDefault="008B0236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03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Comply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the 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AUKB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 xml:space="preserve"> governing document and the law. The law refers to the following:</w:t>
      </w:r>
    </w:p>
    <w:p w14:paraId="31A8D37D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the </w:t>
      </w:r>
      <w:hyperlink r:id="rId9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Charity Act 2011</w:t>
        </w:r>
      </w:hyperlink>
    </w:p>
    <w:p w14:paraId="34C63E59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the </w:t>
      </w:r>
      <w:hyperlink r:id="rId10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Charities (Protection and Social Investment) Act 2016</w:t>
        </w:r>
      </w:hyperlink>
    </w:p>
    <w:p w14:paraId="3452B14D" w14:textId="21A9A79A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the  </w:t>
      </w:r>
      <w:hyperlink r:id="rId11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Trustees Acts 1925</w:t>
        </w:r>
      </w:hyperlink>
      <w:r w:rsidRPr="00753E31">
        <w:rPr>
          <w:rFonts w:asciiTheme="majorHAnsi" w:eastAsia="Calibri" w:hAnsiTheme="majorHAnsi" w:cstheme="majorHAnsi"/>
        </w:rPr>
        <w:t>,</w:t>
      </w:r>
      <w:hyperlink r:id="rId12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 xml:space="preserve"> 2000</w:t>
        </w:r>
      </w:hyperlink>
    </w:p>
    <w:p w14:paraId="6368B010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guidance on </w:t>
      </w:r>
      <w:hyperlink r:id="rId13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Charity Commission regulation</w:t>
        </w:r>
      </w:hyperlink>
    </w:p>
    <w:p w14:paraId="42372E87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>the</w:t>
      </w:r>
      <w:hyperlink r:id="rId14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 xml:space="preserve"> Statement of Recommended Practice (SORP)</w:t>
        </w:r>
      </w:hyperlink>
    </w:p>
    <w:p w14:paraId="5A00CD47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>laws on trading, political activities and fundraising</w:t>
      </w:r>
    </w:p>
    <w:p w14:paraId="40F612BD" w14:textId="18780D63" w:rsidR="00753E31" w:rsidRPr="008B0236" w:rsidRDefault="00753E31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8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Have an enthusiasm for the work of AUKB and the time, </w:t>
      </w:r>
      <w:r w:rsidR="008B0236">
        <w:rPr>
          <w:rFonts w:ascii="Calibri" w:eastAsia="Calibri" w:hAnsi="Calibri" w:cs="Calibri"/>
          <w:color w:val="000000"/>
          <w:sz w:val="24"/>
          <w:szCs w:val="24"/>
        </w:rPr>
        <w:t>ability,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commitment to carry out the duties </w:t>
      </w:r>
      <w:r>
        <w:rPr>
          <w:rFonts w:ascii="Calibri" w:eastAsia="Calibri" w:hAnsi="Calibri" w:cs="Calibri"/>
          <w:sz w:val="24"/>
          <w:szCs w:val="24"/>
        </w:rPr>
        <w:t>of a Board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member. This includes</w:t>
      </w:r>
      <w:r w:rsidR="008B0236">
        <w:rPr>
          <w:rFonts w:ascii="Calibri" w:eastAsia="Calibri" w:hAnsi="Calibri" w:cs="Calibri"/>
          <w:color w:val="000000"/>
          <w:sz w:val="24"/>
          <w:szCs w:val="24"/>
        </w:rPr>
        <w:t xml:space="preserve"> attending at least</w:t>
      </w:r>
      <w:r w:rsidRPr="008B0236">
        <w:rPr>
          <w:rFonts w:ascii="Calibri" w:eastAsia="Calibri" w:hAnsi="Calibri" w:cs="Calibri"/>
          <w:color w:val="000000"/>
          <w:sz w:val="24"/>
          <w:szCs w:val="24"/>
        </w:rPr>
        <w:t xml:space="preserve"> eight Board meetings per year plus other training, planning and promotional events.</w:t>
      </w:r>
    </w:p>
    <w:p w14:paraId="3B39B7C6" w14:textId="48104AF6" w:rsidR="00753E31" w:rsidRDefault="008B0236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Act in AUKB’s best interests by working closely with other Trustees and members of AUKB to provide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sound AUKB 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strategic direction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decision making based on current best information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. This includes setting overall policy, defining goals, setting targets, and evaluating performance against agreed targets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Board meetings and document reviews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04C0770" w14:textId="6407EA9B" w:rsidR="00753E31" w:rsidRDefault="00753E31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Safeguard the good name and values of AUKB.</w:t>
      </w:r>
    </w:p>
    <w:p w14:paraId="2C2A09A5" w14:textId="42F6C9BE" w:rsidR="00753E31" w:rsidRPr="00E200E7" w:rsidRDefault="008B0236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Manage AUKB’s resources responsibly to e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nsure effective and efficient administration of AUKB</w:t>
      </w:r>
      <w:r>
        <w:rPr>
          <w:rFonts w:ascii="Calibri" w:eastAsia="Calibri" w:hAnsi="Calibri" w:cs="Calibri"/>
          <w:color w:val="000000"/>
          <w:sz w:val="24"/>
          <w:szCs w:val="24"/>
        </w:rPr>
        <w:t>’s business and strategic plan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includes monitoring </w:t>
      </w:r>
      <w:r w:rsidR="00753E31" w:rsidRPr="008B0236">
        <w:rPr>
          <w:rFonts w:ascii="Calibri" w:eastAsia="Calibri" w:hAnsi="Calibri" w:cs="Calibri"/>
          <w:color w:val="000000"/>
          <w:sz w:val="24"/>
          <w:szCs w:val="24"/>
        </w:rPr>
        <w:t>financial stability of AUKB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>appointing key staff and</w:t>
      </w:r>
      <w:r w:rsidR="00753E31" w:rsidRPr="00E200E7">
        <w:rPr>
          <w:rFonts w:ascii="Calibri" w:eastAsia="Calibri" w:hAnsi="Calibri" w:cs="Calibri"/>
          <w:color w:val="000000"/>
          <w:sz w:val="24"/>
          <w:szCs w:val="24"/>
        </w:rPr>
        <w:t xml:space="preserve"> future Chief Executive Officers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>, performing risk assessment regularly,</w:t>
      </w:r>
      <w:r w:rsidR="00753E31" w:rsidRPr="00E200E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>overseeing</w:t>
      </w:r>
      <w:r w:rsidR="00753E31" w:rsidRPr="00E200E7">
        <w:rPr>
          <w:rFonts w:ascii="Calibri" w:eastAsia="Calibri" w:hAnsi="Calibri" w:cs="Calibri"/>
          <w:color w:val="000000"/>
          <w:sz w:val="24"/>
          <w:szCs w:val="24"/>
        </w:rPr>
        <w:t xml:space="preserve"> the performance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 xml:space="preserve"> and outcomes, and mitigating potential and preventable risks. </w:t>
      </w:r>
    </w:p>
    <w:p w14:paraId="5EF339AB" w14:textId="10A663C7" w:rsidR="00E200E7" w:rsidRPr="00ED7556" w:rsidRDefault="00E200E7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12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 accountable for the AUKB. Trustees holds accountability to the charity, the members, staff, and volunteers. This includes statutory accounting and reporting requirement in a format comprehended </w:t>
      </w:r>
      <w:r w:rsidR="00702CA7"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02CA7">
        <w:rPr>
          <w:rFonts w:ascii="Calibri" w:eastAsia="Calibri" w:hAnsi="Calibri" w:cs="Calibri"/>
          <w:color w:val="000000"/>
          <w:sz w:val="24"/>
          <w:szCs w:val="24"/>
        </w:rPr>
        <w:t>everyone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i.e. annual general meetings, annual </w:t>
      </w:r>
      <w:r w:rsidR="00702CA7">
        <w:rPr>
          <w:rFonts w:ascii="Calibri" w:eastAsia="Calibri" w:hAnsi="Calibri" w:cs="Calibri"/>
          <w:color w:val="000000"/>
          <w:sz w:val="24"/>
          <w:szCs w:val="24"/>
        </w:rPr>
        <w:t>reports,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financial reports.</w:t>
      </w:r>
    </w:p>
    <w:p w14:paraId="239CAC32" w14:textId="77072576" w:rsidR="00753E31" w:rsidRPr="00ED7556" w:rsidRDefault="00753E31" w:rsidP="00407D00">
      <w:pPr>
        <w:spacing w:after="120"/>
        <w:ind w:left="113" w:right="112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above list of duties </w:t>
      </w:r>
      <w:r w:rsidR="00407D00">
        <w:rPr>
          <w:rFonts w:ascii="Calibri" w:eastAsia="Calibri" w:hAnsi="Calibri" w:cs="Calibri"/>
          <w:sz w:val="24"/>
          <w:szCs w:val="24"/>
        </w:rPr>
        <w:t>is</w:t>
      </w:r>
      <w:r w:rsidR="005F4E91">
        <w:rPr>
          <w:rFonts w:ascii="Calibri" w:eastAsia="Calibri" w:hAnsi="Calibri" w:cs="Calibri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4E91">
        <w:rPr>
          <w:rFonts w:ascii="Calibri" w:eastAsia="Calibri" w:hAnsi="Calibri" w:cs="Calibri"/>
          <w:sz w:val="24"/>
          <w:szCs w:val="24"/>
        </w:rPr>
        <w:t xml:space="preserve">claimed to be </w:t>
      </w:r>
      <w:r>
        <w:rPr>
          <w:rFonts w:ascii="Calibri" w:eastAsia="Calibri" w:hAnsi="Calibri" w:cs="Calibri"/>
          <w:sz w:val="24"/>
          <w:szCs w:val="24"/>
        </w:rPr>
        <w:t xml:space="preserve">exhaustive. Trustees </w:t>
      </w:r>
      <w:r w:rsidR="00E200E7"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expected to perform additional duties commensurate with their roles</w:t>
      </w:r>
      <w:r w:rsidR="005F4E91">
        <w:rPr>
          <w:rFonts w:ascii="Calibri" w:eastAsia="Calibri" w:hAnsi="Calibri" w:cs="Calibri"/>
          <w:sz w:val="24"/>
          <w:szCs w:val="24"/>
        </w:rPr>
        <w:t xml:space="preserve"> to support AUKB when necessary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B7BBF7" w14:textId="77777777" w:rsidR="005B41C0" w:rsidRDefault="009033C6">
      <w:pPr>
        <w:pStyle w:val="Heading1"/>
        <w:spacing w:after="120"/>
        <w:ind w:left="0"/>
        <w:rPr>
          <w:b w:val="0"/>
        </w:rPr>
      </w:pPr>
      <w:r>
        <w:lastRenderedPageBreak/>
        <w:t>Person Specification</w:t>
      </w:r>
    </w:p>
    <w:p w14:paraId="04B2DFC1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397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They will know the third sector, have been a trustee for another charity, and /or have a real interest in older people. </w:t>
      </w:r>
    </w:p>
    <w:p w14:paraId="5D3EAD9A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56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Someone who has a commitment to the aims and objectives of Age UK Bristol, in promoting it in the best interests of its stakeholders and staff.</w:t>
      </w:r>
    </w:p>
    <w:p w14:paraId="4896D984" w14:textId="108832F4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</w:t>
      </w:r>
      <w:r w:rsidR="00407D00">
        <w:rPr>
          <w:rFonts w:ascii="Calibri" w:eastAsia="Calibri" w:hAnsi="Calibri" w:cs="Calibri"/>
          <w:color w:val="000000"/>
          <w:sz w:val="24"/>
          <w:szCs w:val="24"/>
        </w:rPr>
        <w:t>ategic vision and understanding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E237E5C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Good, independent judgment.</w:t>
      </w:r>
    </w:p>
    <w:p w14:paraId="12B36E5C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ability to think creatively</w:t>
      </w:r>
    </w:p>
    <w:p w14:paraId="089D7839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88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understanding of legal duties, responsibilities and liabilities of trusteeship, together with an understanding of the financial aspects of running a charity.</w:t>
      </w:r>
    </w:p>
    <w:p w14:paraId="1C19CA0C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0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ability to work effectively as part of a team, contributing an independent perspective.</w:t>
      </w:r>
    </w:p>
    <w:p w14:paraId="2468EFB3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Possess integrity, objectivity, accountability, honesty.</w:t>
      </w:r>
    </w:p>
    <w:p w14:paraId="68C0687D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applicant must be legally eligible to stand as a registered Company Director and Charity Trustee.</w:t>
      </w:r>
    </w:p>
    <w:p w14:paraId="387561AC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Terms of Appointment </w:t>
      </w:r>
    </w:p>
    <w:p w14:paraId="0A30CA4C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Trustees should expect to serve for no more than 3 terms of 3 years. </w:t>
      </w:r>
    </w:p>
    <w:p w14:paraId="0CCD6BAD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Trustees are required to attend scheduled meetings and some ad hoc meetings. </w:t>
      </w:r>
    </w:p>
    <w:p w14:paraId="3FA889D0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It is anticipated that the time commitment should be no more than 2hours a week on average but there could be occasions when extra time will be required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during planning of new projects or dealing with any particular difficulties that arise). </w:t>
      </w:r>
    </w:p>
    <w:p w14:paraId="3FBBD2B8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Whilst the role of Trustee is unpaid, reasonable out of pocket expenses are payable in line with Age UK Bristol’s policy.</w:t>
      </w:r>
    </w:p>
    <w:p w14:paraId="238FB4BD" w14:textId="77777777" w:rsidR="005B41C0" w:rsidRDefault="005B41C0">
      <w:pPr>
        <w:spacing w:after="120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sectPr w:rsidR="005B41C0" w:rsidSect="00ED7556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BFB4" w16cex:dateUtc="2020-08-04T10:06:00Z"/>
  <w16cex:commentExtensible w16cex:durableId="22D3C061" w16cex:dateUtc="2020-08-04T10:09:00Z"/>
  <w16cex:commentExtensible w16cex:durableId="22D3C652" w16cex:dateUtc="2020-08-04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45222" w16cid:durableId="22D3BFB4"/>
  <w16cid:commentId w16cid:paraId="1E806D42" w16cid:durableId="22D3C061"/>
  <w16cid:commentId w16cid:paraId="048F7486" w16cid:durableId="22D3C6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363F" w14:textId="77777777" w:rsidR="009033C6" w:rsidRDefault="009033C6">
      <w:r>
        <w:separator/>
      </w:r>
    </w:p>
  </w:endnote>
  <w:endnote w:type="continuationSeparator" w:id="0">
    <w:p w14:paraId="706F24DD" w14:textId="77777777" w:rsidR="009033C6" w:rsidRDefault="0090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4"/>
        <w:szCs w:val="24"/>
      </w:rPr>
      <w:id w:val="574951709"/>
      <w:docPartObj>
        <w:docPartGallery w:val="Page Numbers (Top of Page)"/>
        <w:docPartUnique/>
      </w:docPartObj>
    </w:sdtPr>
    <w:sdtContent>
      <w:p w14:paraId="617314A8" w14:textId="53A97C84" w:rsidR="00407D00" w:rsidRDefault="00407D00" w:rsidP="00407D00">
        <w:pPr>
          <w:pStyle w:val="Footer"/>
          <w:jc w:val="center"/>
          <w:rPr>
            <w:rFonts w:asciiTheme="majorHAnsi" w:hAnsiTheme="majorHAnsi"/>
          </w:rPr>
        </w:pPr>
        <w:r w:rsidRPr="00407D00">
          <w:rPr>
            <w:rFonts w:asciiTheme="majorHAnsi" w:hAnsiTheme="majorHAnsi"/>
            <w:sz w:val="24"/>
            <w:szCs w:val="24"/>
          </w:rPr>
          <w:t xml:space="preserve">Page 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instrText xml:space="preserve"> PAGE </w:instrTex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>
          <w:rPr>
            <w:rFonts w:asciiTheme="majorHAnsi" w:hAnsiTheme="majorHAnsi"/>
            <w:b/>
            <w:bCs/>
            <w:noProof/>
            <w:sz w:val="24"/>
            <w:szCs w:val="24"/>
          </w:rPr>
          <w:t>2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407D00">
          <w:rPr>
            <w:rFonts w:asciiTheme="majorHAnsi" w:hAnsiTheme="majorHAnsi"/>
            <w:sz w:val="24"/>
            <w:szCs w:val="24"/>
          </w:rPr>
          <w:t xml:space="preserve"> of 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instrText xml:space="preserve"> NUMPAGES  </w:instrTex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>
          <w:rPr>
            <w:rFonts w:asciiTheme="majorHAnsi" w:hAnsiTheme="majorHAnsi"/>
            <w:b/>
            <w:bCs/>
            <w:noProof/>
            <w:sz w:val="24"/>
            <w:szCs w:val="24"/>
          </w:rPr>
          <w:t>2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p>
    </w:sdtContent>
  </w:sdt>
  <w:p w14:paraId="37624350" w14:textId="77777777" w:rsidR="005B41C0" w:rsidRDefault="005B41C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4"/>
        <w:szCs w:val="24"/>
      </w:rPr>
      <w:id w:val="17532397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1F233D" w14:textId="4B136429" w:rsidR="00407D00" w:rsidRPr="00407D00" w:rsidRDefault="00407D00">
            <w:pPr>
              <w:pStyle w:val="Foot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7D00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F550C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407D00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F550C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EBECF" w14:textId="77777777" w:rsidR="00407D00" w:rsidRPr="00407D00" w:rsidRDefault="00407D00">
    <w:pPr>
      <w:pStyle w:val="Foo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705B" w14:textId="77777777" w:rsidR="009033C6" w:rsidRDefault="009033C6">
      <w:r>
        <w:separator/>
      </w:r>
    </w:p>
  </w:footnote>
  <w:footnote w:type="continuationSeparator" w:id="0">
    <w:p w14:paraId="183F148C" w14:textId="77777777" w:rsidR="009033C6" w:rsidRDefault="0090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8566" w14:textId="1E18D736" w:rsidR="005B41C0" w:rsidRPr="00ED7556" w:rsidRDefault="00ED7556" w:rsidP="00407D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  <w:r w:rsidRPr="00ED7556">
      <w:rPr>
        <w:rFonts w:asciiTheme="majorHAnsi" w:hAnsiTheme="majorHAnsi" w:cstheme="majorHAnsi"/>
        <w:color w:val="000000"/>
      </w:rPr>
      <w:t>August 2020</w:t>
    </w:r>
  </w:p>
  <w:p w14:paraId="335FA97E" w14:textId="77777777" w:rsidR="005B41C0" w:rsidRPr="00ED7556" w:rsidRDefault="009033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eastAsia="Calibri" w:hAnsiTheme="majorHAnsi" w:cstheme="majorHAnsi"/>
        <w:color w:val="000000"/>
      </w:rPr>
    </w:pPr>
    <w:r w:rsidRPr="00ED7556">
      <w:rPr>
        <w:rFonts w:asciiTheme="majorHAnsi" w:eastAsia="Calibri" w:hAnsiTheme="majorHAnsi" w:cstheme="majorHAnsi"/>
        <w:color w:val="000000"/>
      </w:rPr>
      <w:t>Role Outline: Trustee (AUKB)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9281" w14:textId="7199E569" w:rsidR="00ED7556" w:rsidRPr="00ED7556" w:rsidRDefault="00ED7556" w:rsidP="00407D00">
    <w:pPr>
      <w:pStyle w:val="Header"/>
      <w:rPr>
        <w:rFonts w:asciiTheme="majorHAnsi" w:hAnsiTheme="majorHAnsi" w:cstheme="majorHAnsi"/>
        <w:lang w:val="en-GB"/>
      </w:rPr>
    </w:pPr>
    <w:r w:rsidRPr="00ED7556">
      <w:rPr>
        <w:rFonts w:asciiTheme="majorHAnsi" w:hAnsiTheme="majorHAnsi" w:cstheme="majorHAnsi"/>
        <w:lang w:val="en-GB"/>
      </w:rPr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C31"/>
    <w:multiLevelType w:val="multilevel"/>
    <w:tmpl w:val="B5B0A3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C866B4E"/>
    <w:multiLevelType w:val="hybridMultilevel"/>
    <w:tmpl w:val="AA8E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5315"/>
    <w:multiLevelType w:val="multilevel"/>
    <w:tmpl w:val="1BF4A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82B69"/>
    <w:multiLevelType w:val="multilevel"/>
    <w:tmpl w:val="4A96F1D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090" w:hanging="360"/>
      </w:pPr>
    </w:lvl>
    <w:lvl w:ilvl="3">
      <w:start w:val="1"/>
      <w:numFmt w:val="bullet"/>
      <w:lvlText w:val="•"/>
      <w:lvlJc w:val="left"/>
      <w:pPr>
        <w:ind w:left="2987" w:hanging="360"/>
      </w:pPr>
    </w:lvl>
    <w:lvl w:ilvl="4">
      <w:start w:val="1"/>
      <w:numFmt w:val="bullet"/>
      <w:lvlText w:val="•"/>
      <w:lvlJc w:val="left"/>
      <w:pPr>
        <w:ind w:left="3884" w:hanging="360"/>
      </w:pPr>
    </w:lvl>
    <w:lvl w:ilvl="5">
      <w:start w:val="1"/>
      <w:numFmt w:val="bullet"/>
      <w:lvlText w:val="•"/>
      <w:lvlJc w:val="left"/>
      <w:pPr>
        <w:ind w:left="4781" w:hanging="360"/>
      </w:pPr>
    </w:lvl>
    <w:lvl w:ilvl="6">
      <w:start w:val="1"/>
      <w:numFmt w:val="bullet"/>
      <w:lvlText w:val="•"/>
      <w:lvlJc w:val="left"/>
      <w:pPr>
        <w:ind w:left="5678" w:hanging="360"/>
      </w:pPr>
    </w:lvl>
    <w:lvl w:ilvl="7">
      <w:start w:val="1"/>
      <w:numFmt w:val="bullet"/>
      <w:lvlText w:val="•"/>
      <w:lvlJc w:val="left"/>
      <w:pPr>
        <w:ind w:left="6575" w:hanging="360"/>
      </w:pPr>
    </w:lvl>
    <w:lvl w:ilvl="8">
      <w:start w:val="1"/>
      <w:numFmt w:val="bullet"/>
      <w:lvlText w:val="•"/>
      <w:lvlJc w:val="left"/>
      <w:pPr>
        <w:ind w:left="7471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C0"/>
    <w:rsid w:val="00266650"/>
    <w:rsid w:val="00407D00"/>
    <w:rsid w:val="005B41C0"/>
    <w:rsid w:val="005F4E91"/>
    <w:rsid w:val="00702CA7"/>
    <w:rsid w:val="00753E31"/>
    <w:rsid w:val="008B0236"/>
    <w:rsid w:val="009033C6"/>
    <w:rsid w:val="00E200E7"/>
    <w:rsid w:val="00ED7556"/>
    <w:rsid w:val="00EE1981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0407"/>
  <w15:docId w15:val="{7311ED46-9001-427C-9A96-194B9AE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3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3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56"/>
  </w:style>
  <w:style w:type="paragraph" w:styleId="Footer">
    <w:name w:val="footer"/>
    <w:basedOn w:val="Normal"/>
    <w:link w:val="FooterChar"/>
    <w:uiPriority w:val="99"/>
    <w:unhideWhenUsed/>
    <w:rsid w:val="00ED7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whats-involved" TargetMode="External"/><Relationship Id="rId13" Type="http://schemas.openxmlformats.org/officeDocument/2006/relationships/hyperlink" Target="https://www.gov.uk/government/collections/charity-commission-regulation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http://www.legislation.gov.uk/ukpga/2000/29/conten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id/ukpga/Geo5/15-16/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ukpga/2016/4/contents/enac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1/25/contents" TargetMode="External"/><Relationship Id="rId14" Type="http://schemas.openxmlformats.org/officeDocument/2006/relationships/hyperlink" Target="http://http//charitysorp.org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Wood</dc:creator>
  <cp:lastModifiedBy>Toni Wood</cp:lastModifiedBy>
  <cp:revision>5</cp:revision>
  <dcterms:created xsi:type="dcterms:W3CDTF">2020-08-11T12:56:00Z</dcterms:created>
  <dcterms:modified xsi:type="dcterms:W3CDTF">2020-08-11T13:59:00Z</dcterms:modified>
</cp:coreProperties>
</file>