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E1" w:rsidRDefault="00C575E1" w:rsidP="00B02E6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:rsidR="00E93864" w:rsidRDefault="00E93864" w:rsidP="00B02E6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E91A39"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1" layoutInCell="1" allowOverlap="0" wp14:anchorId="5CA5B34A" wp14:editId="5BDBF8EB">
            <wp:simplePos x="0" y="0"/>
            <wp:positionH relativeFrom="margin">
              <wp:align>center</wp:align>
            </wp:positionH>
            <wp:positionV relativeFrom="margin">
              <wp:posOffset>-27305</wp:posOffset>
            </wp:positionV>
            <wp:extent cx="3443605" cy="2171700"/>
            <wp:effectExtent l="0" t="0" r="4445" b="0"/>
            <wp:wrapTight wrapText="left">
              <wp:wrapPolygon edited="0">
                <wp:start x="0" y="0"/>
                <wp:lineTo x="0" y="21411"/>
                <wp:lineTo x="21508" y="21411"/>
                <wp:lineTo x="21508" y="0"/>
                <wp:lineTo x="0" y="0"/>
              </wp:wrapPolygon>
            </wp:wrapTight>
            <wp:docPr id="10" name="Picture 8" descr="Final selfhelp logo clean 3ongo small logo with 12 KSA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elfhelp logo clean 3ongo small logo with 12 KSA addr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864" w:rsidRDefault="00E93864" w:rsidP="00B02E6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:rsidR="00E93864" w:rsidRDefault="00E93864" w:rsidP="00B02E6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:rsidR="00C575E1" w:rsidRDefault="00C575E1" w:rsidP="00B02E6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:rsidR="00E93864" w:rsidRDefault="00E93864" w:rsidP="00E93864">
      <w:pPr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br/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br/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br/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br/>
      </w:r>
    </w:p>
    <w:p w:rsidR="00E93864" w:rsidRPr="00E93864" w:rsidRDefault="00E93864" w:rsidP="00E93864">
      <w:pPr>
        <w:pStyle w:val="DefaultText"/>
        <w:jc w:val="center"/>
        <w:rPr>
          <w:rFonts w:ascii="Arial" w:hAnsi="Arial" w:cs="Arial"/>
          <w:b/>
        </w:rPr>
      </w:pPr>
      <w:r w:rsidRPr="00E93864">
        <w:rPr>
          <w:rFonts w:ascii="Arial" w:hAnsi="Arial" w:cs="Arial"/>
          <w:b/>
        </w:rPr>
        <w:t>SELF HELP COMMUNITY HOUSING ASSOCIATION</w:t>
      </w:r>
    </w:p>
    <w:p w:rsidR="001B4219" w:rsidRPr="00E93864" w:rsidRDefault="00E93864" w:rsidP="00B02E6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E93864">
        <w:rPr>
          <w:rFonts w:ascii="Arial" w:hAnsi="Arial" w:cs="Arial"/>
          <w:b/>
          <w:bCs/>
          <w:sz w:val="24"/>
          <w:szCs w:val="24"/>
          <w:lang w:val="en" w:eastAsia="en-GB"/>
        </w:rPr>
        <w:t>JOB DESCRIPTION</w:t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t>:</w:t>
      </w:r>
      <w:bookmarkStart w:id="0" w:name="_GoBack"/>
      <w:bookmarkEnd w:id="0"/>
      <w:r w:rsidRPr="00E93864">
        <w:rPr>
          <w:rFonts w:ascii="Arial" w:hAnsi="Arial" w:cs="Arial"/>
          <w:b/>
          <w:bCs/>
          <w:sz w:val="24"/>
          <w:szCs w:val="24"/>
          <w:lang w:val="en" w:eastAsia="en-GB"/>
        </w:rPr>
        <w:t xml:space="preserve"> HOUSING OFFICER</w:t>
      </w:r>
    </w:p>
    <w:p w:rsidR="001B4219" w:rsidRDefault="001B4219" w:rsidP="001B4219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:rsidR="001B4219" w:rsidRPr="00E93864" w:rsidRDefault="001B4219" w:rsidP="00B02E60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The post holder will be working for a small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, central</w:t>
      </w: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Bristol based Housing Association, providing housing management services to homeless clients with 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in dispersed housing</w:t>
      </w:r>
      <w:r w:rsidRPr="00E93864">
        <w:rPr>
          <w:rFonts w:ascii="Arial" w:hAnsi="Arial" w:cs="Arial"/>
          <w:sz w:val="24"/>
          <w:szCs w:val="24"/>
          <w:lang w:val="en" w:eastAsia="en-GB"/>
        </w:rPr>
        <w:t>. Working in partnership with dedicated support workers your will deliver high quality customer focused temporary housing services in an efficient and effective way to prepare clients for independent living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1B4219" w:rsidRPr="00E93864" w:rsidRDefault="001B4219" w:rsidP="001B4219">
      <w:pPr>
        <w:jc w:val="both"/>
        <w:rPr>
          <w:rFonts w:ascii="Arial" w:hAnsi="Arial" w:cs="Arial"/>
          <w:sz w:val="24"/>
          <w:szCs w:val="24"/>
          <w:lang w:val="en" w:eastAsia="en-GB"/>
        </w:rPr>
      </w:pPr>
    </w:p>
    <w:p w:rsidR="001B4219" w:rsidRPr="00E93864" w:rsidRDefault="001B4219" w:rsidP="00E93864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You will be </w:t>
      </w:r>
      <w:r w:rsidR="007133BD" w:rsidRPr="00E93864">
        <w:rPr>
          <w:rFonts w:ascii="Arial" w:hAnsi="Arial" w:cs="Arial"/>
          <w:sz w:val="24"/>
          <w:szCs w:val="24"/>
          <w:lang w:val="en" w:eastAsia="en-GB"/>
        </w:rPr>
        <w:t>responsible for approximately 80</w:t>
      </w: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residents made up </w:t>
      </w:r>
      <w:r w:rsidR="007133BD" w:rsidRPr="00E93864">
        <w:rPr>
          <w:rFonts w:ascii="Arial" w:hAnsi="Arial" w:cs="Arial"/>
          <w:sz w:val="24"/>
          <w:szCs w:val="24"/>
          <w:lang w:val="en" w:eastAsia="en-GB"/>
        </w:rPr>
        <w:t>of supported accommodation, family</w:t>
      </w: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housing, self-contained flats and Houses in Multiple Occupation in and around central Bristol. Key duties include managing and inspecting the accommodation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starting and ending tenancies, allocations &amp; viewing, voids &amp; rent management and recovery of former tenant arrears.</w:t>
      </w:r>
    </w:p>
    <w:p w:rsidR="007133BD" w:rsidRPr="00E93864" w:rsidRDefault="007133BD" w:rsidP="00432F61">
      <w:p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</w:p>
    <w:p w:rsidR="00C575E1" w:rsidRPr="00E93864" w:rsidRDefault="007133BD" w:rsidP="00887B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To coordinate and carry out viewings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 xml:space="preserve">, internal transfers &amp; deal with tenancy end matters. </w:t>
      </w:r>
    </w:p>
    <w:p w:rsidR="00C575E1" w:rsidRPr="00E93864" w:rsidRDefault="00C575E1" w:rsidP="00C575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To deal with breaches of tenancy/licence agreements, including rent and service charge arrears, all areas of Anti-Social </w:t>
      </w:r>
      <w:proofErr w:type="spellStart"/>
      <w:r w:rsidRPr="00E93864">
        <w:rPr>
          <w:rFonts w:ascii="Arial" w:hAnsi="Arial" w:cs="Arial"/>
          <w:sz w:val="24"/>
          <w:szCs w:val="24"/>
          <w:lang w:val="en" w:eastAsia="en-GB"/>
        </w:rPr>
        <w:t>behaviour</w:t>
      </w:r>
      <w:proofErr w:type="spellEnd"/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i.e. nuisance, harassment and misuse of property. </w:t>
      </w:r>
    </w:p>
    <w:p w:rsidR="00C575E1" w:rsidRPr="00E93864" w:rsidRDefault="007133BD" w:rsidP="00C575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To liaise with external referring services</w:t>
      </w:r>
      <w:r w:rsidR="00887B07" w:rsidRPr="00E93864">
        <w:rPr>
          <w:rFonts w:ascii="Arial" w:hAnsi="Arial" w:cs="Arial"/>
          <w:sz w:val="24"/>
          <w:szCs w:val="24"/>
          <w:lang w:val="en" w:eastAsia="en-GB"/>
        </w:rPr>
        <w:t xml:space="preserve"> </w:t>
      </w:r>
      <w:proofErr w:type="spellStart"/>
      <w:r w:rsidR="00887B07" w:rsidRPr="00E93864">
        <w:rPr>
          <w:rFonts w:ascii="Arial" w:hAnsi="Arial" w:cs="Arial"/>
          <w:sz w:val="24"/>
          <w:szCs w:val="24"/>
          <w:lang w:val="en" w:eastAsia="en-GB"/>
        </w:rPr>
        <w:t>e.g</w:t>
      </w:r>
      <w:proofErr w:type="spellEnd"/>
      <w:r w:rsidR="00887B07" w:rsidRPr="00E93864">
        <w:rPr>
          <w:rFonts w:ascii="Arial" w:hAnsi="Arial" w:cs="Arial"/>
          <w:sz w:val="24"/>
          <w:szCs w:val="24"/>
          <w:lang w:val="en" w:eastAsia="en-GB"/>
        </w:rPr>
        <w:t xml:space="preserve"> local authority, homeless prevention services</w:t>
      </w:r>
    </w:p>
    <w:p w:rsidR="00C575E1" w:rsidRPr="00E93864" w:rsidRDefault="00C575E1" w:rsidP="00C575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To carry out pre-void inspections and arrange re-letting works. </w:t>
      </w:r>
    </w:p>
    <w:p w:rsidR="007133BD" w:rsidRPr="00E93864" w:rsidRDefault="007133BD" w:rsidP="007133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Undertake Allocation Interviews obtain nominations, assess applications and complete new tenancy documentation.</w:t>
      </w:r>
    </w:p>
    <w:p w:rsidR="007133BD" w:rsidRPr="00E93864" w:rsidRDefault="007133BD" w:rsidP="00C575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To ensure prompt and appropriate responses to resident enquiries. </w:t>
      </w:r>
    </w:p>
    <w:p w:rsidR="001B4219" w:rsidRPr="00E93864" w:rsidRDefault="001B4219" w:rsidP="00432F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To deal with reports of abandoned tenancies, squatters and unauthorized occupiers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7133BD" w:rsidRPr="00E93864" w:rsidRDefault="007133BD" w:rsidP="007133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To </w:t>
      </w:r>
      <w:proofErr w:type="spellStart"/>
      <w:r w:rsidRPr="00E93864">
        <w:rPr>
          <w:rFonts w:ascii="Arial" w:hAnsi="Arial" w:cs="Arial"/>
          <w:sz w:val="24"/>
          <w:szCs w:val="24"/>
          <w:lang w:val="en" w:eastAsia="en-GB"/>
        </w:rPr>
        <w:t>minimise</w:t>
      </w:r>
      <w:proofErr w:type="spellEnd"/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rent arrears &amp;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 recover</w:t>
      </w: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former tenant arrears periodically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1B4219" w:rsidRPr="00E93864" w:rsidRDefault="001B4219" w:rsidP="00C575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lastRenderedPageBreak/>
        <w:t>Prepare cases for Court action and represent the Organis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ation in Court and at evictions.</w:t>
      </w:r>
    </w:p>
    <w:p w:rsidR="001B4219" w:rsidRPr="00E93864" w:rsidRDefault="001B4219" w:rsidP="00432F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To carry out regular property visits including communal area an</w:t>
      </w:r>
      <w:r w:rsidR="005706A9" w:rsidRPr="00E93864">
        <w:rPr>
          <w:rFonts w:ascii="Arial" w:hAnsi="Arial" w:cs="Arial"/>
          <w:sz w:val="24"/>
          <w:szCs w:val="24"/>
          <w:lang w:val="en" w:eastAsia="en-GB"/>
        </w:rPr>
        <w:t>d health and safety inspections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4F31F7" w:rsidRPr="00E93864" w:rsidRDefault="001B4219" w:rsidP="00432F6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To refer 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residents</w:t>
      </w:r>
      <w:r w:rsidRPr="00E93864">
        <w:rPr>
          <w:rFonts w:ascii="Arial" w:hAnsi="Arial" w:cs="Arial"/>
          <w:sz w:val="24"/>
          <w:szCs w:val="24"/>
          <w:lang w:val="en" w:eastAsia="en-GB"/>
        </w:rPr>
        <w:t xml:space="preserve"> to appropriate sources of benefits and welfare advice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1B4219" w:rsidRPr="00E93864" w:rsidRDefault="001B4219" w:rsidP="00432F6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Liaison /Notification with utility companies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1B4219" w:rsidRPr="00E93864" w:rsidRDefault="00C575E1" w:rsidP="00432F6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Liaise with H</w:t>
      </w:r>
      <w:r w:rsidR="001B4219" w:rsidRPr="00E93864">
        <w:rPr>
          <w:rFonts w:ascii="Arial" w:hAnsi="Arial" w:cs="Arial"/>
          <w:sz w:val="24"/>
          <w:szCs w:val="24"/>
          <w:lang w:val="en" w:eastAsia="en-GB"/>
        </w:rPr>
        <w:t xml:space="preserve">ousing Benefit </w:t>
      </w:r>
      <w:r w:rsidRPr="00E93864">
        <w:rPr>
          <w:rFonts w:ascii="Arial" w:hAnsi="Arial" w:cs="Arial"/>
          <w:sz w:val="24"/>
          <w:szCs w:val="24"/>
          <w:lang w:val="en" w:eastAsia="en-GB"/>
        </w:rPr>
        <w:t>departments around o</w:t>
      </w:r>
      <w:r w:rsidR="001B4219" w:rsidRPr="00E93864">
        <w:rPr>
          <w:rFonts w:ascii="Arial" w:hAnsi="Arial" w:cs="Arial"/>
          <w:sz w:val="24"/>
          <w:szCs w:val="24"/>
          <w:lang w:val="en" w:eastAsia="en-GB"/>
        </w:rPr>
        <w:t>verpayment Recovery &amp; dual Benefits</w:t>
      </w:r>
      <w:r w:rsidRPr="00E93864">
        <w:rPr>
          <w:rFonts w:ascii="Arial" w:hAnsi="Arial" w:cs="Arial"/>
          <w:sz w:val="24"/>
          <w:szCs w:val="24"/>
          <w:lang w:val="en" w:eastAsia="en-GB"/>
        </w:rPr>
        <w:t>.</w:t>
      </w:r>
      <w:r w:rsidR="001B4219" w:rsidRPr="00E93864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:rsidR="001B4219" w:rsidRPr="00E93864" w:rsidRDefault="001B4219" w:rsidP="00432F6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Maintain the Associations data systems (e.g. Rent and Property Management and resident records)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B02E60" w:rsidRPr="00E93864" w:rsidRDefault="001B4219" w:rsidP="00432F6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93864">
        <w:rPr>
          <w:rFonts w:ascii="Arial" w:hAnsi="Arial" w:cs="Arial"/>
          <w:sz w:val="24"/>
          <w:szCs w:val="24"/>
          <w:lang w:val="en" w:eastAsia="en-GB"/>
        </w:rPr>
        <w:t>To represent the Association at external meetings</w:t>
      </w:r>
      <w:r w:rsidR="00C575E1" w:rsidRPr="00E93864">
        <w:rPr>
          <w:rFonts w:ascii="Arial" w:hAnsi="Arial" w:cs="Arial"/>
          <w:sz w:val="24"/>
          <w:szCs w:val="24"/>
          <w:lang w:val="en" w:eastAsia="en-GB"/>
        </w:rPr>
        <w:t>.</w:t>
      </w:r>
    </w:p>
    <w:p w:rsidR="001B4219" w:rsidRPr="00E93864" w:rsidRDefault="001B4219" w:rsidP="00432F61">
      <w:pPr>
        <w:spacing w:line="360" w:lineRule="auto"/>
        <w:rPr>
          <w:rStyle w:val="InitialStyle"/>
          <w:rFonts w:ascii="Arial" w:hAnsi="Arial" w:cs="Arial"/>
          <w:sz w:val="24"/>
          <w:szCs w:val="24"/>
          <w:lang w:val="en" w:eastAsia="en-GB"/>
        </w:rPr>
      </w:pPr>
      <w:r w:rsidRPr="00E93864">
        <w:rPr>
          <w:rStyle w:val="InitialStyle"/>
          <w:rFonts w:ascii="Arial" w:hAnsi="Arial" w:cs="Arial"/>
          <w:i/>
          <w:sz w:val="24"/>
          <w:szCs w:val="24"/>
        </w:rPr>
        <w:t>This job description is not an exhaustive list of all of the dutie</w:t>
      </w:r>
      <w:r w:rsidR="00B02E60" w:rsidRPr="00E93864">
        <w:rPr>
          <w:rStyle w:val="InitialStyle"/>
          <w:rFonts w:ascii="Arial" w:hAnsi="Arial" w:cs="Arial"/>
          <w:i/>
          <w:sz w:val="24"/>
          <w:szCs w:val="24"/>
        </w:rPr>
        <w:t xml:space="preserve">s and responsibilities that may </w:t>
      </w:r>
      <w:r w:rsidRPr="00E93864">
        <w:rPr>
          <w:rStyle w:val="InitialStyle"/>
          <w:rFonts w:ascii="Arial" w:hAnsi="Arial" w:cs="Arial"/>
          <w:i/>
          <w:sz w:val="24"/>
          <w:szCs w:val="24"/>
        </w:rPr>
        <w:t>be required</w:t>
      </w:r>
      <w:r w:rsidRPr="00E93864">
        <w:rPr>
          <w:rStyle w:val="InitialStyle"/>
          <w:rFonts w:ascii="Arial" w:hAnsi="Arial" w:cs="Arial"/>
          <w:sz w:val="24"/>
          <w:szCs w:val="24"/>
        </w:rPr>
        <w:t>.</w:t>
      </w:r>
    </w:p>
    <w:p w:rsidR="00B02E60" w:rsidRPr="00E93864" w:rsidRDefault="00B02E60" w:rsidP="00432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3864" w:rsidRPr="00E93864" w:rsidRDefault="00E93864" w:rsidP="00E93864">
      <w:pPr>
        <w:pStyle w:val="DefaultText"/>
        <w:jc w:val="center"/>
        <w:rPr>
          <w:rFonts w:ascii="Arial" w:hAnsi="Arial" w:cs="Arial"/>
          <w:b/>
        </w:rPr>
      </w:pPr>
      <w:r w:rsidRPr="00E93864">
        <w:rPr>
          <w:rFonts w:ascii="Arial" w:hAnsi="Arial" w:cs="Arial"/>
          <w:b/>
        </w:rPr>
        <w:t>SELF HELP COMMUNITY HOUSING ASSOCIATION</w:t>
      </w:r>
    </w:p>
    <w:p w:rsidR="00E93864" w:rsidRPr="00E93864" w:rsidRDefault="00E93864" w:rsidP="00E93864">
      <w:pPr>
        <w:pStyle w:val="DefaultText"/>
        <w:jc w:val="center"/>
        <w:rPr>
          <w:rFonts w:ascii="Arial" w:hAnsi="Arial" w:cs="Arial"/>
          <w:b/>
        </w:rPr>
      </w:pPr>
      <w:r w:rsidRPr="00E93864">
        <w:rPr>
          <w:rFonts w:ascii="Arial" w:hAnsi="Arial" w:cs="Arial"/>
          <w:b/>
        </w:rPr>
        <w:t>PERSON SPECIFICATION: HOUSING OFFICER</w:t>
      </w: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2340"/>
        <w:gridCol w:w="8280"/>
      </w:tblGrid>
      <w:tr w:rsidR="00E93864" w:rsidRPr="00E93864" w:rsidTr="0082703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ATTRIBUTES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REQUIREMENTS</w:t>
            </w:r>
          </w:p>
        </w:tc>
      </w:tr>
      <w:tr w:rsidR="00E93864" w:rsidRPr="00E93864" w:rsidTr="0082703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  <w:b/>
                <w:bCs/>
              </w:rPr>
              <w:t>SKILLS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  <w:u w:val="single"/>
              </w:rPr>
              <w:t>Essential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Ability to conduct effective interviews with Service Users.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To have understanding of housing &amp; welfare benefits sufficient to give general advice to Service Users.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Team Working.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Good written and verbal communication.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Word Processing and e-mail computer skills.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Time management.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Caseload management.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Interpretation of tenancy law and legislation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The ability to acquire new skills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Ability to conduct effective interviews with Service Users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Rent Arrears management</w:t>
            </w:r>
            <w:r w:rsidRPr="00E93864">
              <w:rPr>
                <w:rFonts w:ascii="Arial" w:hAnsi="Arial" w:cs="Arial"/>
              </w:rPr>
              <w:br/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  <w:u w:val="single"/>
              </w:rPr>
              <w:t>Desirable</w:t>
            </w:r>
          </w:p>
          <w:p w:rsidR="00E93864" w:rsidRPr="00E93864" w:rsidRDefault="00E93864" w:rsidP="00827032">
            <w:pPr>
              <w:pStyle w:val="TableText"/>
              <w:ind w:left="360"/>
              <w:rPr>
                <w:rFonts w:ascii="Arial" w:hAnsi="Arial" w:cs="Arial"/>
              </w:rPr>
            </w:pPr>
          </w:p>
        </w:tc>
      </w:tr>
      <w:tr w:rsidR="00E93864" w:rsidRPr="00E93864" w:rsidTr="0082703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E93864">
              <w:rPr>
                <w:rFonts w:ascii="Arial" w:hAnsi="Arial" w:cs="Arial"/>
                <w:b/>
                <w:bCs/>
              </w:rPr>
              <w:t>QUALIFICATIONS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Essential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Good standard of secondary education including Math’s and English.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Housing related qualification or equivalent experience.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</w:rPr>
              <w:tab/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Desirable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Housing related qualification or equivalent experience.</w:t>
            </w:r>
          </w:p>
        </w:tc>
      </w:tr>
      <w:tr w:rsidR="00E93864" w:rsidRPr="00E93864" w:rsidTr="0082703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Essential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 xml:space="preserve">At least two years’ experience working within a housing management environment 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lastRenderedPageBreak/>
              <w:t xml:space="preserve">Managing a rent arrears caseload. </w:t>
            </w:r>
            <w:r w:rsidRPr="00E93864">
              <w:rPr>
                <w:rFonts w:ascii="Arial" w:hAnsi="Arial" w:cs="Arial"/>
              </w:rPr>
              <w:tab/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  <w:iCs/>
              </w:rPr>
              <w:t>Experience of housing benefit administration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proofErr w:type="spellStart"/>
            <w:r w:rsidRPr="00E93864">
              <w:rPr>
                <w:rFonts w:ascii="Arial" w:hAnsi="Arial" w:cs="Arial"/>
              </w:rPr>
              <w:t>Inter agency</w:t>
            </w:r>
            <w:proofErr w:type="spellEnd"/>
            <w:r w:rsidRPr="00E93864">
              <w:rPr>
                <w:rFonts w:ascii="Arial" w:hAnsi="Arial" w:cs="Arial"/>
              </w:rPr>
              <w:t xml:space="preserve"> and partnership working.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Providing welfare benefits advice sufficient to provide general advice to service users.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Desirable</w:t>
            </w:r>
            <w:r w:rsidRPr="00E93864">
              <w:rPr>
                <w:rFonts w:ascii="Arial" w:hAnsi="Arial" w:cs="Arial"/>
              </w:rPr>
              <w:t>.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Working with people who are homelessness.</w:t>
            </w:r>
          </w:p>
        </w:tc>
      </w:tr>
      <w:tr w:rsidR="00E93864" w:rsidRPr="00E93864" w:rsidTr="0082703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  <w:smallCaps/>
              </w:rPr>
            </w:pPr>
            <w:r w:rsidRPr="00E93864">
              <w:rPr>
                <w:rFonts w:ascii="Arial" w:hAnsi="Arial" w:cs="Arial"/>
                <w:b/>
                <w:bCs/>
                <w:smallCaps/>
              </w:rPr>
              <w:lastRenderedPageBreak/>
              <w:t>PROFESSIONAL KNOWLEDGE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  <w:smallCap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  <w:smallCap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  <w:smallCap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  <w:smallCap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b/>
                <w:bCs/>
                <w:smallCaps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Essential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Housing Benefits.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Welfare Benefits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E93864">
              <w:rPr>
                <w:rFonts w:ascii="Arial" w:hAnsi="Arial" w:cs="Arial"/>
              </w:rPr>
              <w:t>The local authority homeless prevention services.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E93864">
              <w:rPr>
                <w:rFonts w:ascii="Arial" w:hAnsi="Arial" w:cs="Arial"/>
              </w:rPr>
              <w:t xml:space="preserve">The law in relation to </w:t>
            </w:r>
            <w:proofErr w:type="spellStart"/>
            <w:r w:rsidRPr="00E93864">
              <w:rPr>
                <w:rFonts w:ascii="Arial" w:hAnsi="Arial" w:cs="Arial"/>
              </w:rPr>
              <w:t>Shorthold</w:t>
            </w:r>
            <w:proofErr w:type="spellEnd"/>
            <w:r w:rsidRPr="00E93864">
              <w:rPr>
                <w:rFonts w:ascii="Arial" w:hAnsi="Arial" w:cs="Arial"/>
              </w:rPr>
              <w:t xml:space="preserve"> Tenancies and License agreements.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E93864">
              <w:rPr>
                <w:rFonts w:ascii="Arial" w:hAnsi="Arial" w:cs="Arial"/>
              </w:rPr>
              <w:t>Professional boundaries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Desirable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</w:rPr>
              <w:t>Knowledge of housing and support agencies in Bristol area.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</w:rPr>
              <w:t>Management of Houses in Multiple Occupation</w:t>
            </w:r>
          </w:p>
          <w:p w:rsidR="00E93864" w:rsidRPr="00E93864" w:rsidRDefault="00E93864" w:rsidP="00E9386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3864">
              <w:rPr>
                <w:rFonts w:ascii="Arial" w:hAnsi="Arial" w:cs="Arial"/>
                <w:sz w:val="24"/>
                <w:szCs w:val="24"/>
              </w:rPr>
              <w:t xml:space="preserve">Understanding of social housing issues 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Data Protection Act &amp; GDPR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Equality and Diversity law &amp; practices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 xml:space="preserve">Health &amp; safety issues </w:t>
            </w:r>
          </w:p>
          <w:p w:rsidR="00E93864" w:rsidRPr="00E93864" w:rsidRDefault="00E93864" w:rsidP="00E93864">
            <w:pPr>
              <w:pStyle w:val="Table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 xml:space="preserve">Safeguarding of adults and children. </w:t>
            </w:r>
          </w:p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</w:p>
        </w:tc>
      </w:tr>
      <w:tr w:rsidR="00E93864" w:rsidRPr="00E93864" w:rsidTr="0082703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864" w:rsidRPr="00E93864" w:rsidRDefault="00E93864" w:rsidP="00827032">
            <w:pPr>
              <w:pStyle w:val="TableText"/>
              <w:rPr>
                <w:rFonts w:ascii="Arial" w:hAnsi="Arial" w:cs="Arial"/>
                <w:u w:val="single"/>
              </w:rPr>
            </w:pPr>
            <w:r w:rsidRPr="00E93864">
              <w:rPr>
                <w:rFonts w:ascii="Arial" w:hAnsi="Arial" w:cs="Arial"/>
                <w:u w:val="single"/>
              </w:rPr>
              <w:t>Essential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 xml:space="preserve">Ability to work under pressure. 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Current, clean driving license.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>Commitment to continual professional development and training.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 xml:space="preserve">Commitment to </w:t>
            </w:r>
            <w:proofErr w:type="spellStart"/>
            <w:r w:rsidRPr="00E93864">
              <w:rPr>
                <w:rFonts w:ascii="Arial" w:hAnsi="Arial" w:cs="Arial"/>
              </w:rPr>
              <w:t>utilise</w:t>
            </w:r>
            <w:proofErr w:type="spellEnd"/>
            <w:r w:rsidRPr="00E93864">
              <w:rPr>
                <w:rFonts w:ascii="Arial" w:hAnsi="Arial" w:cs="Arial"/>
              </w:rPr>
              <w:t xml:space="preserve"> supervision.</w:t>
            </w:r>
          </w:p>
          <w:p w:rsidR="00E93864" w:rsidRPr="00E93864" w:rsidRDefault="00E93864" w:rsidP="00E93864">
            <w:pPr>
              <w:pStyle w:val="Bullet1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93864">
              <w:rPr>
                <w:rFonts w:ascii="Arial" w:hAnsi="Arial" w:cs="Arial"/>
              </w:rPr>
              <w:t xml:space="preserve">Enhanced DBS will be required for this role. </w:t>
            </w:r>
            <w:r w:rsidRPr="00E93864">
              <w:rPr>
                <w:rFonts w:ascii="Arial" w:hAnsi="Arial" w:cs="Arial"/>
              </w:rPr>
              <w:tab/>
            </w:r>
          </w:p>
        </w:tc>
      </w:tr>
    </w:tbl>
    <w:p w:rsidR="00E93864" w:rsidRPr="00E93864" w:rsidRDefault="00E93864" w:rsidP="00E93864">
      <w:pPr>
        <w:rPr>
          <w:rFonts w:ascii="Arial" w:hAnsi="Arial" w:cs="Arial"/>
          <w:sz w:val="24"/>
          <w:szCs w:val="24"/>
        </w:rPr>
      </w:pPr>
    </w:p>
    <w:p w:rsidR="00B02E60" w:rsidRPr="00E93864" w:rsidRDefault="00B02E60" w:rsidP="00432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 w:rsidP="00432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 w:rsidP="00432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 w:rsidP="00432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 w:rsidP="00432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432F61" w:rsidRPr="00E93864" w:rsidRDefault="00432F61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B02E60" w:rsidRPr="00E93864" w:rsidRDefault="00B02E60">
      <w:pPr>
        <w:jc w:val="both"/>
        <w:rPr>
          <w:rFonts w:ascii="Arial" w:hAnsi="Arial" w:cs="Arial"/>
          <w:sz w:val="24"/>
          <w:szCs w:val="24"/>
        </w:rPr>
      </w:pPr>
    </w:p>
    <w:p w:rsidR="006A1522" w:rsidRPr="00E93864" w:rsidRDefault="00B02E60" w:rsidP="00F77826">
      <w:pPr>
        <w:jc w:val="center"/>
        <w:rPr>
          <w:rFonts w:ascii="Arial" w:hAnsi="Arial" w:cs="Arial"/>
          <w:sz w:val="24"/>
          <w:szCs w:val="24"/>
        </w:rPr>
      </w:pPr>
      <w:r w:rsidRPr="00E93864">
        <w:rPr>
          <w:rFonts w:ascii="Arial" w:hAnsi="Arial" w:cs="Arial"/>
          <w:sz w:val="24"/>
          <w:szCs w:val="24"/>
        </w:rPr>
        <w:lastRenderedPageBreak/>
        <w:t>2</w:t>
      </w:r>
    </w:p>
    <w:sectPr w:rsidR="006A1522" w:rsidRPr="00E93864" w:rsidSect="00E93864">
      <w:headerReference w:type="default" r:id="rId8"/>
      <w:footerReference w:type="default" r:id="rId9"/>
      <w:pgSz w:w="11906" w:h="16838"/>
      <w:pgMar w:top="-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07" w:rsidRDefault="00887B07" w:rsidP="00ED1295">
      <w:r>
        <w:separator/>
      </w:r>
    </w:p>
  </w:endnote>
  <w:endnote w:type="continuationSeparator" w:id="0">
    <w:p w:rsidR="00887B07" w:rsidRDefault="00887B07" w:rsidP="00E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07" w:rsidRDefault="00887B07" w:rsidP="00ED1295">
    <w:pPr>
      <w:pStyle w:val="NoSpacing"/>
      <w:rPr>
        <w:sz w:val="16"/>
        <w:szCs w:val="16"/>
      </w:rPr>
    </w:pPr>
  </w:p>
  <w:p w:rsidR="00887B07" w:rsidRPr="00455251" w:rsidRDefault="00887B07" w:rsidP="00ED1295">
    <w:pPr>
      <w:pStyle w:val="NoSpacing"/>
      <w:jc w:val="center"/>
      <w:rPr>
        <w:sz w:val="16"/>
      </w:rPr>
    </w:pPr>
    <w:r w:rsidRPr="00455251">
      <w:rPr>
        <w:noProof/>
        <w:sz w:val="16"/>
        <w:lang w:eastAsia="en-GB"/>
      </w:rPr>
      <w:drawing>
        <wp:anchor distT="0" distB="0" distL="114300" distR="114300" simplePos="0" relativeHeight="251661312" behindDoc="1" locked="0" layoutInCell="1" allowOverlap="1" wp14:anchorId="63E69555" wp14:editId="1FFBD8B0">
          <wp:simplePos x="0" y="0"/>
          <wp:positionH relativeFrom="column">
            <wp:posOffset>5768340</wp:posOffset>
          </wp:positionH>
          <wp:positionV relativeFrom="paragraph">
            <wp:posOffset>41275</wp:posOffset>
          </wp:positionV>
          <wp:extent cx="523240" cy="379095"/>
          <wp:effectExtent l="0" t="0" r="0" b="0"/>
          <wp:wrapTight wrapText="bothSides">
            <wp:wrapPolygon edited="0">
              <wp:start x="3146" y="0"/>
              <wp:lineTo x="0" y="3256"/>
              <wp:lineTo x="0" y="20623"/>
              <wp:lineTo x="20447" y="20623"/>
              <wp:lineTo x="20447" y="2171"/>
              <wp:lineTo x="18087" y="0"/>
              <wp:lineTo x="3146" y="0"/>
            </wp:wrapPolygon>
          </wp:wrapTight>
          <wp:docPr id="17" name="Picture 3" descr="HL_logo_aubergine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logo_aubergine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24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5251">
      <w:rPr>
        <w:noProof/>
        <w:sz w:val="16"/>
        <w:lang w:eastAsia="en-GB"/>
      </w:rPr>
      <w:drawing>
        <wp:anchor distT="0" distB="0" distL="114300" distR="114300" simplePos="0" relativeHeight="251659264" behindDoc="1" locked="1" layoutInCell="0" allowOverlap="0" wp14:anchorId="1BB4A69D" wp14:editId="7C68A43B">
          <wp:simplePos x="0" y="0"/>
          <wp:positionH relativeFrom="column">
            <wp:posOffset>-636905</wp:posOffset>
          </wp:positionH>
          <wp:positionV relativeFrom="paragraph">
            <wp:posOffset>-59055</wp:posOffset>
          </wp:positionV>
          <wp:extent cx="636270" cy="482600"/>
          <wp:effectExtent l="0" t="0" r="0" b="0"/>
          <wp:wrapTight wrapText="bothSides">
            <wp:wrapPolygon edited="0">
              <wp:start x="0" y="0"/>
              <wp:lineTo x="0" y="20463"/>
              <wp:lineTo x="20695" y="20463"/>
              <wp:lineTo x="20695" y="0"/>
              <wp:lineTo x="0" y="0"/>
            </wp:wrapPolygon>
          </wp:wrapTight>
          <wp:docPr id="18" name="Picture 1" descr="supported by BCC in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orted by BCC in Black and Whi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27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5251">
      <w:rPr>
        <w:noProof/>
        <w:sz w:val="16"/>
        <w:lang w:eastAsia="en-GB"/>
      </w:rPr>
      <w:drawing>
        <wp:anchor distT="0" distB="0" distL="114300" distR="114300" simplePos="0" relativeHeight="251660288" behindDoc="1" locked="1" layoutInCell="0" allowOverlap="0" wp14:anchorId="55716B69" wp14:editId="7B327E45">
          <wp:simplePos x="0" y="0"/>
          <wp:positionH relativeFrom="column">
            <wp:posOffset>326390</wp:posOffset>
          </wp:positionH>
          <wp:positionV relativeFrom="paragraph">
            <wp:posOffset>-14605</wp:posOffset>
          </wp:positionV>
          <wp:extent cx="308610" cy="335915"/>
          <wp:effectExtent l="0" t="0" r="0" b="0"/>
          <wp:wrapTight wrapText="bothSides">
            <wp:wrapPolygon edited="0">
              <wp:start x="0" y="0"/>
              <wp:lineTo x="0" y="20824"/>
              <wp:lineTo x="20000" y="20824"/>
              <wp:lineTo x="20000" y="0"/>
              <wp:lineTo x="0" y="0"/>
            </wp:wrapPolygon>
          </wp:wrapTight>
          <wp:docPr id="19" name="Picture 2" descr="chas acreditted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s acreditted black and whi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61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5251">
      <w:rPr>
        <w:sz w:val="16"/>
      </w:rPr>
      <w:t>Self Help Community Housing Association Ltd is a charitable Housing Association &amp; Registered Society</w:t>
    </w:r>
  </w:p>
  <w:p w:rsidR="00887B07" w:rsidRPr="00455251" w:rsidRDefault="00887B07" w:rsidP="00ED1295">
    <w:pPr>
      <w:pStyle w:val="NoSpacing"/>
      <w:jc w:val="center"/>
      <w:rPr>
        <w:sz w:val="16"/>
      </w:rPr>
    </w:pPr>
    <w:r w:rsidRPr="00455251">
      <w:rPr>
        <w:sz w:val="16"/>
      </w:rPr>
      <w:t>under the Co –operative and Community Benefit Societies Act 2014 -  No.21283R</w:t>
    </w:r>
  </w:p>
  <w:p w:rsidR="00887B07" w:rsidRPr="00455251" w:rsidRDefault="00887B07" w:rsidP="00ED1295">
    <w:pPr>
      <w:pStyle w:val="NoSpacing"/>
      <w:jc w:val="center"/>
    </w:pPr>
    <w:r w:rsidRPr="00455251">
      <w:rPr>
        <w:sz w:val="16"/>
      </w:rPr>
      <w:t>Registered Office: 12 King Square Avenue, Stokes Croft, Bristol, BS28HU</w:t>
    </w:r>
  </w:p>
  <w:p w:rsidR="00887B07" w:rsidRDefault="00887B07" w:rsidP="00ED1295">
    <w:pPr>
      <w:pStyle w:val="Footer"/>
    </w:pPr>
  </w:p>
  <w:p w:rsidR="00887B07" w:rsidRDefault="00887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07" w:rsidRDefault="00887B07" w:rsidP="00ED1295">
      <w:r>
        <w:separator/>
      </w:r>
    </w:p>
  </w:footnote>
  <w:footnote w:type="continuationSeparator" w:id="0">
    <w:p w:rsidR="00887B07" w:rsidRDefault="00887B07" w:rsidP="00ED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>
    <w:pPr>
      <w:pStyle w:val="Header"/>
    </w:pPr>
  </w:p>
  <w:p w:rsidR="00887B07" w:rsidRDefault="00887B07" w:rsidP="00B02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7"/>
    <w:multiLevelType w:val="singleLevel"/>
    <w:tmpl w:val="7DB2ACB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8B339B1"/>
    <w:multiLevelType w:val="hybridMultilevel"/>
    <w:tmpl w:val="D27E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F61"/>
    <w:multiLevelType w:val="singleLevel"/>
    <w:tmpl w:val="7DB2ACB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8923645"/>
    <w:multiLevelType w:val="hybridMultilevel"/>
    <w:tmpl w:val="490C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7E0B"/>
    <w:multiLevelType w:val="hybridMultilevel"/>
    <w:tmpl w:val="D13C62FC"/>
    <w:lvl w:ilvl="0" w:tplc="C7AA6CBC">
      <w:numFmt w:val="bullet"/>
      <w:lvlText w:val=""/>
      <w:lvlJc w:val="left"/>
      <w:pPr>
        <w:ind w:left="840" w:hanging="4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950ADF"/>
    <w:multiLevelType w:val="singleLevel"/>
    <w:tmpl w:val="7DB2ACB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82F7D8B"/>
    <w:multiLevelType w:val="singleLevel"/>
    <w:tmpl w:val="7DB2ACB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1692555"/>
    <w:multiLevelType w:val="singleLevel"/>
    <w:tmpl w:val="7DB2ACB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A9C0676"/>
    <w:multiLevelType w:val="singleLevel"/>
    <w:tmpl w:val="7DB2ACB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CDE2EE8"/>
    <w:multiLevelType w:val="hybridMultilevel"/>
    <w:tmpl w:val="74AA43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19"/>
    <w:rsid w:val="001B4219"/>
    <w:rsid w:val="00432F61"/>
    <w:rsid w:val="004B2600"/>
    <w:rsid w:val="004F31F7"/>
    <w:rsid w:val="005706A9"/>
    <w:rsid w:val="005F5054"/>
    <w:rsid w:val="006A1522"/>
    <w:rsid w:val="006C34B0"/>
    <w:rsid w:val="006E6A70"/>
    <w:rsid w:val="007133BD"/>
    <w:rsid w:val="00887B07"/>
    <w:rsid w:val="009B3EE4"/>
    <w:rsid w:val="009F1242"/>
    <w:rsid w:val="00B02E60"/>
    <w:rsid w:val="00C575E1"/>
    <w:rsid w:val="00E93864"/>
    <w:rsid w:val="00ED1295"/>
    <w:rsid w:val="00EE443E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A3A053-D24F-4A1E-AF26-C280138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B4219"/>
  </w:style>
  <w:style w:type="paragraph" w:styleId="ListParagraph">
    <w:name w:val="List Paragraph"/>
    <w:basedOn w:val="Normal"/>
    <w:uiPriority w:val="34"/>
    <w:qFormat/>
    <w:rsid w:val="001B4219"/>
    <w:pPr>
      <w:spacing w:after="200" w:line="276" w:lineRule="auto"/>
      <w:ind w:left="720"/>
      <w:contextualSpacing/>
    </w:pPr>
  </w:style>
  <w:style w:type="paragraph" w:customStyle="1" w:styleId="DefaultText">
    <w:name w:val="Default Text"/>
    <w:basedOn w:val="Normal"/>
    <w:rsid w:val="001B4219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InitialStyle">
    <w:name w:val="InitialStyle"/>
    <w:basedOn w:val="DefaultParagraphFont"/>
    <w:rsid w:val="001B4219"/>
  </w:style>
  <w:style w:type="paragraph" w:styleId="Header">
    <w:name w:val="header"/>
    <w:basedOn w:val="Normal"/>
    <w:link w:val="HeaderChar"/>
    <w:uiPriority w:val="99"/>
    <w:unhideWhenUsed/>
    <w:rsid w:val="00ED1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95"/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D129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60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E93864"/>
    <w:pPr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E93864"/>
    <w:pPr>
      <w:tabs>
        <w:tab w:val="decimal" w:pos="0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E6257322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House</dc:creator>
  <cp:lastModifiedBy>Aaron Minnigin</cp:lastModifiedBy>
  <cp:revision>2</cp:revision>
  <cp:lastPrinted>2019-05-13T13:02:00Z</cp:lastPrinted>
  <dcterms:created xsi:type="dcterms:W3CDTF">2019-05-14T16:18:00Z</dcterms:created>
  <dcterms:modified xsi:type="dcterms:W3CDTF">2019-05-14T16:18:00Z</dcterms:modified>
</cp:coreProperties>
</file>